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92533F" w14:textId="14C855D4" w:rsidR="00B55D26" w:rsidRPr="00A55E07" w:rsidRDefault="00B55D26" w:rsidP="00CE6384">
      <w:pPr>
        <w:pStyle w:val="MessageHeader"/>
        <w:tabs>
          <w:tab w:val="left" w:pos="1260"/>
        </w:tabs>
        <w:spacing w:after="80"/>
        <w:ind w:left="0" w:firstLine="0"/>
        <w:rPr>
          <w:rFonts w:ascii="Times New Roman" w:hAnsi="Times New Roman"/>
          <w:sz w:val="24"/>
          <w:szCs w:val="22"/>
        </w:rPr>
      </w:pPr>
      <w:bookmarkStart w:id="0" w:name="_GoBack"/>
      <w:bookmarkEnd w:id="0"/>
      <w:r w:rsidRPr="00A55E07">
        <w:rPr>
          <w:rStyle w:val="MessageHeaderLabel"/>
          <w:rFonts w:ascii="Times New Roman" w:hAnsi="Times New Roman"/>
          <w:sz w:val="24"/>
          <w:szCs w:val="22"/>
        </w:rPr>
        <w:t>to:</w:t>
      </w:r>
      <w:r w:rsidR="00A703C6" w:rsidRPr="00A55E07">
        <w:rPr>
          <w:rFonts w:ascii="Times New Roman" w:hAnsi="Times New Roman"/>
          <w:sz w:val="24"/>
          <w:szCs w:val="22"/>
        </w:rPr>
        <w:tab/>
      </w:r>
      <w:r w:rsidR="00A452B2" w:rsidRPr="00A55E07">
        <w:rPr>
          <w:rFonts w:ascii="Times New Roman" w:hAnsi="Times New Roman"/>
          <w:sz w:val="24"/>
          <w:szCs w:val="22"/>
        </w:rPr>
        <w:t xml:space="preserve"> </w:t>
      </w:r>
      <w:r w:rsidR="00192A2C">
        <w:rPr>
          <w:rFonts w:ascii="Times New Roman" w:hAnsi="Times New Roman"/>
          <w:sz w:val="24"/>
          <w:szCs w:val="22"/>
        </w:rPr>
        <w:tab/>
      </w:r>
      <w:r w:rsidR="004E0658">
        <w:rPr>
          <w:rFonts w:ascii="Times New Roman" w:hAnsi="Times New Roman"/>
          <w:sz w:val="24"/>
          <w:szCs w:val="22"/>
        </w:rPr>
        <w:t>water advisory committee</w:t>
      </w:r>
    </w:p>
    <w:p w14:paraId="6D90668F" w14:textId="3F626A91" w:rsidR="00B55D26" w:rsidRPr="00A55E07" w:rsidRDefault="00B55D26" w:rsidP="00CE6384">
      <w:pPr>
        <w:pStyle w:val="MessageHeader"/>
        <w:tabs>
          <w:tab w:val="left" w:pos="1260"/>
        </w:tabs>
        <w:spacing w:after="80"/>
        <w:ind w:left="0" w:firstLine="0"/>
        <w:rPr>
          <w:rFonts w:ascii="Times New Roman" w:hAnsi="Times New Roman"/>
          <w:sz w:val="24"/>
          <w:szCs w:val="22"/>
        </w:rPr>
      </w:pPr>
      <w:r w:rsidRPr="00A55E07">
        <w:rPr>
          <w:rStyle w:val="MessageHeaderLabel"/>
          <w:rFonts w:ascii="Times New Roman" w:hAnsi="Times New Roman"/>
          <w:sz w:val="24"/>
          <w:szCs w:val="22"/>
        </w:rPr>
        <w:t>from:</w:t>
      </w:r>
      <w:r w:rsidR="00A703C6" w:rsidRPr="00A55E07">
        <w:rPr>
          <w:rStyle w:val="MessageHeaderLabel"/>
          <w:rFonts w:ascii="Times New Roman" w:hAnsi="Times New Roman"/>
          <w:sz w:val="24"/>
          <w:szCs w:val="22"/>
        </w:rPr>
        <w:tab/>
      </w:r>
      <w:r w:rsidR="00F43DB3" w:rsidRPr="00A55E07">
        <w:rPr>
          <w:rStyle w:val="MessageHeaderLabel"/>
          <w:rFonts w:ascii="Times New Roman" w:hAnsi="Times New Roman"/>
          <w:b w:val="0"/>
          <w:sz w:val="24"/>
          <w:szCs w:val="22"/>
        </w:rPr>
        <w:t xml:space="preserve"> </w:t>
      </w:r>
      <w:r w:rsidR="00192A2C">
        <w:rPr>
          <w:rStyle w:val="MessageHeaderLabel"/>
          <w:rFonts w:ascii="Times New Roman" w:hAnsi="Times New Roman"/>
          <w:b w:val="0"/>
          <w:sz w:val="24"/>
          <w:szCs w:val="22"/>
        </w:rPr>
        <w:tab/>
      </w:r>
      <w:r w:rsidR="004E0658">
        <w:rPr>
          <w:rStyle w:val="MessageHeaderLabel"/>
          <w:rFonts w:ascii="Times New Roman" w:hAnsi="Times New Roman"/>
          <w:b w:val="0"/>
          <w:sz w:val="24"/>
          <w:szCs w:val="22"/>
        </w:rPr>
        <w:t>executive director’s office</w:t>
      </w:r>
    </w:p>
    <w:p w14:paraId="57BB7183" w14:textId="19E81777" w:rsidR="00B55D26" w:rsidRPr="00A55E07" w:rsidRDefault="00B55D26" w:rsidP="00192A2C">
      <w:pPr>
        <w:pStyle w:val="MessageHeader"/>
        <w:tabs>
          <w:tab w:val="left" w:pos="0"/>
          <w:tab w:val="left" w:pos="1170"/>
        </w:tabs>
        <w:spacing w:after="80"/>
        <w:ind w:left="1260" w:hanging="1260"/>
        <w:rPr>
          <w:rFonts w:ascii="Times New Roman" w:hAnsi="Times New Roman"/>
          <w:sz w:val="24"/>
          <w:szCs w:val="22"/>
        </w:rPr>
      </w:pPr>
      <w:r w:rsidRPr="00A55E07">
        <w:rPr>
          <w:rStyle w:val="MessageHeaderLabel"/>
          <w:rFonts w:ascii="Times New Roman" w:hAnsi="Times New Roman"/>
          <w:sz w:val="24"/>
          <w:szCs w:val="22"/>
        </w:rPr>
        <w:t>subject:</w:t>
      </w:r>
      <w:r w:rsidR="00A703C6" w:rsidRPr="00A55E07">
        <w:rPr>
          <w:rFonts w:ascii="Times New Roman" w:hAnsi="Times New Roman"/>
          <w:sz w:val="24"/>
          <w:szCs w:val="22"/>
        </w:rPr>
        <w:t xml:space="preserve"> </w:t>
      </w:r>
      <w:r w:rsidR="00A703C6" w:rsidRPr="00A55E07">
        <w:rPr>
          <w:rFonts w:ascii="Times New Roman" w:hAnsi="Times New Roman"/>
          <w:sz w:val="24"/>
          <w:szCs w:val="22"/>
        </w:rPr>
        <w:tab/>
      </w:r>
      <w:r w:rsidR="00192A2C">
        <w:rPr>
          <w:rFonts w:ascii="Times New Roman" w:hAnsi="Times New Roman"/>
          <w:sz w:val="24"/>
          <w:szCs w:val="22"/>
        </w:rPr>
        <w:tab/>
      </w:r>
      <w:r w:rsidR="004E0658">
        <w:rPr>
          <w:rFonts w:ascii="Times New Roman" w:hAnsi="Times New Roman"/>
          <w:sz w:val="24"/>
          <w:szCs w:val="22"/>
        </w:rPr>
        <w:t>2018 PRRIP Water projects accounting</w:t>
      </w:r>
    </w:p>
    <w:p w14:paraId="4CFE8847" w14:textId="6005EBAB" w:rsidR="001F180F" w:rsidRPr="00CF7BA6" w:rsidRDefault="00B55D26" w:rsidP="00CE6384">
      <w:pPr>
        <w:pStyle w:val="MessageHeader"/>
        <w:tabs>
          <w:tab w:val="left" w:pos="1260"/>
        </w:tabs>
        <w:spacing w:after="80"/>
        <w:ind w:left="0" w:firstLine="0"/>
        <w:rPr>
          <w:rFonts w:ascii="Times New Roman" w:hAnsi="Times New Roman"/>
          <w:sz w:val="24"/>
          <w:szCs w:val="24"/>
        </w:rPr>
      </w:pPr>
      <w:r w:rsidRPr="00CF7BA6">
        <w:rPr>
          <w:rStyle w:val="MessageHeaderLabel"/>
          <w:rFonts w:ascii="Times New Roman" w:hAnsi="Times New Roman"/>
          <w:sz w:val="24"/>
          <w:szCs w:val="24"/>
        </w:rPr>
        <w:t>date:</w:t>
      </w:r>
      <w:r w:rsidRPr="00CF7BA6">
        <w:rPr>
          <w:rFonts w:ascii="Times New Roman" w:hAnsi="Times New Roman"/>
          <w:sz w:val="24"/>
          <w:szCs w:val="24"/>
        </w:rPr>
        <w:tab/>
      </w:r>
      <w:r w:rsidR="00192A2C" w:rsidRPr="00CF7BA6">
        <w:rPr>
          <w:rFonts w:ascii="Times New Roman" w:hAnsi="Times New Roman"/>
          <w:sz w:val="24"/>
          <w:szCs w:val="24"/>
        </w:rPr>
        <w:tab/>
      </w:r>
      <w:r w:rsidR="002857F6">
        <w:rPr>
          <w:rFonts w:ascii="Times New Roman" w:hAnsi="Times New Roman"/>
          <w:sz w:val="24"/>
          <w:szCs w:val="24"/>
        </w:rPr>
        <w:t xml:space="preserve">April </w:t>
      </w:r>
      <w:r w:rsidR="00A02B06">
        <w:rPr>
          <w:rFonts w:ascii="Times New Roman" w:hAnsi="Times New Roman"/>
          <w:sz w:val="24"/>
          <w:szCs w:val="24"/>
        </w:rPr>
        <w:t>23</w:t>
      </w:r>
      <w:r w:rsidR="004E0658">
        <w:rPr>
          <w:rFonts w:ascii="Times New Roman" w:hAnsi="Times New Roman"/>
          <w:sz w:val="24"/>
          <w:szCs w:val="24"/>
        </w:rPr>
        <w:t>, 2019</w:t>
      </w:r>
    </w:p>
    <w:p w14:paraId="5BBEF5E4" w14:textId="6D5566E5" w:rsidR="006342A3" w:rsidRPr="00350647" w:rsidRDefault="00305F91" w:rsidP="00350647">
      <w:pPr>
        <w:pStyle w:val="BodyText"/>
        <w:rPr>
          <w:rFonts w:ascii="Arial" w:hAnsi="Arial" w:cs="Arial"/>
          <w:b/>
          <w:bCs/>
          <w:sz w:val="22"/>
          <w:szCs w:val="22"/>
        </w:rPr>
      </w:pPr>
      <w:r>
        <w:rPr>
          <w:rFonts w:ascii="Arial" w:hAnsi="Arial" w:cs="Arial"/>
          <w:b/>
          <w:bCs/>
          <w:noProof/>
          <w:sz w:val="22"/>
          <w:szCs w:val="22"/>
        </w:rPr>
        <mc:AlternateContent>
          <mc:Choice Requires="wps">
            <w:drawing>
              <wp:anchor distT="0" distB="0" distL="114300" distR="114300" simplePos="0" relativeHeight="251657728" behindDoc="0" locked="0" layoutInCell="1" allowOverlap="1" wp14:anchorId="6C3A1CCC" wp14:editId="68645D1F">
                <wp:simplePos x="0" y="0"/>
                <wp:positionH relativeFrom="column">
                  <wp:posOffset>9525</wp:posOffset>
                </wp:positionH>
                <wp:positionV relativeFrom="paragraph">
                  <wp:posOffset>146050</wp:posOffset>
                </wp:positionV>
                <wp:extent cx="5943600" cy="0"/>
                <wp:effectExtent l="9525" t="9525" r="9525" b="9525"/>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CBDD416" id="_x0000_t32" coordsize="21600,21600" o:spt="32" o:oned="t" path="m,l21600,21600e" filled="f">
                <v:path arrowok="t" fillok="f" o:connecttype="none"/>
                <o:lock v:ext="edit" shapetype="t"/>
              </v:shapetype>
              <v:shape id="AutoShape 2" o:spid="_x0000_s1026" type="#_x0000_t32" style="position:absolute;margin-left:.75pt;margin-top:11.5pt;width:468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Z5HgIAADsEAAAOAAAAZHJzL2Uyb0RvYy54bWysU02P2jAQvVfqf7B8hyRso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"/>
            </w:pict>
          </mc:Fallback>
        </mc:AlternateContent>
      </w:r>
    </w:p>
    <w:p w14:paraId="47EC0D76" w14:textId="77777777" w:rsidR="006342A3" w:rsidRPr="00A55E07" w:rsidRDefault="006342A3" w:rsidP="002D03E0">
      <w:pPr>
        <w:pStyle w:val="ListParagraph"/>
        <w:ind w:left="0"/>
        <w:rPr>
          <w:b/>
        </w:rPr>
      </w:pPr>
    </w:p>
    <w:p w14:paraId="28AC0A1C" w14:textId="14C3F1F7" w:rsidR="00170C89" w:rsidRDefault="00170C89" w:rsidP="00170C89">
      <w:pPr>
        <w:pStyle w:val="ListParagraph"/>
        <w:numPr>
          <w:ilvl w:val="0"/>
          <w:numId w:val="1"/>
        </w:numPr>
        <w:rPr>
          <w:b/>
        </w:rPr>
      </w:pPr>
      <w:r>
        <w:rPr>
          <w:b/>
        </w:rPr>
        <w:t>EXECUTIVE SUMMARY</w:t>
      </w:r>
    </w:p>
    <w:p w14:paraId="57E6E269" w14:textId="77777777" w:rsidR="00170C89" w:rsidRDefault="00170C89" w:rsidP="00170C89"/>
    <w:p w14:paraId="7AD8142D" w14:textId="098C5B3C" w:rsidR="00120813" w:rsidRDefault="00170C89" w:rsidP="00170C89">
      <w:r>
        <w:t xml:space="preserve">The First Increment Water Objective for the Platte River Recovery Implementation Program (PRRIP or Program) is </w:t>
      </w:r>
      <w:r w:rsidR="00FC6A8C">
        <w:t xml:space="preserve">to </w:t>
      </w:r>
      <w:r>
        <w:t xml:space="preserve">reduce deficits to U.S. Fish and Wildlife Service (USFWS) target flows at Grand Island, Nebraska, by an average of 130,000 to 150,000 acre-feet per year (AFY).  Initial water projects developed by the three states that are party to the Program (Colorado, Nebraska, and Wyoming) were credited with providing 80,000 AFY towards this objective.  The </w:t>
      </w:r>
      <w:r w:rsidR="00120813">
        <w:t xml:space="preserve">Program is charged with meeting the </w:t>
      </w:r>
      <w:r>
        <w:t xml:space="preserve">remaining 50,000 to 70,000 </w:t>
      </w:r>
      <w:r w:rsidR="00120813">
        <w:t>AFY</w:t>
      </w:r>
      <w:r>
        <w:t xml:space="preserve"> </w:t>
      </w:r>
      <w:r w:rsidR="00120813">
        <w:t>of deficit reductions through implementation of the Water Action Plan (WAP).</w:t>
      </w:r>
    </w:p>
    <w:p w14:paraId="43332C52" w14:textId="77777777" w:rsidR="00120813" w:rsidRDefault="00120813" w:rsidP="00170C89"/>
    <w:p w14:paraId="68448B97" w14:textId="32C39B7B" w:rsidR="00170C89" w:rsidRDefault="00120813" w:rsidP="00D16D59">
      <w:r>
        <w:t xml:space="preserve">By the end of 2018 (Year 12 of the Program’s First Increment), the Program had </w:t>
      </w:r>
      <w:r w:rsidR="006D3171">
        <w:t xml:space="preserve">agreements with </w:t>
      </w:r>
      <w:r w:rsidR="007B11D2">
        <w:t xml:space="preserve">stakeholder entities </w:t>
      </w:r>
      <w:r w:rsidR="006D3171">
        <w:t xml:space="preserve">for the operation of </w:t>
      </w:r>
      <w:r w:rsidR="00BE1CCF">
        <w:t>eight unique</w:t>
      </w:r>
      <w:r w:rsidR="006E58E6">
        <w:rPr>
          <w:rStyle w:val="FootnoteReference"/>
        </w:rPr>
        <w:footnoteReference w:id="1"/>
      </w:r>
      <w:r w:rsidR="00BE1CCF">
        <w:t xml:space="preserve"> WAP projects, which are generally one of two types:</w:t>
      </w:r>
      <w:r w:rsidR="00D16D59">
        <w:t xml:space="preserve"> (1) p</w:t>
      </w:r>
      <w:r w:rsidR="00BE1CCF">
        <w:t xml:space="preserve">rojects that divert available excess flows for retiming through groundwater recharge, </w:t>
      </w:r>
      <w:r w:rsidR="00D16D59">
        <w:t>and (2) p</w:t>
      </w:r>
      <w:r w:rsidR="00BE1CCF">
        <w:t>rojects in which surface water is leased or otherwise made available to be credited to the Lake McConaughy Environmental Account (EA)</w:t>
      </w:r>
      <w:r w:rsidR="00504609">
        <w:t xml:space="preserve"> and later released to meet</w:t>
      </w:r>
      <w:r w:rsidR="005D6B58">
        <w:t xml:space="preserve"> downstream flow needs</w:t>
      </w:r>
      <w:r w:rsidR="00BE1CCF">
        <w:t>.</w:t>
      </w:r>
      <w:r w:rsidR="00170C89">
        <w:t xml:space="preserve"> </w:t>
      </w:r>
    </w:p>
    <w:p w14:paraId="32065848" w14:textId="387587C4" w:rsidR="00D16D59" w:rsidRDefault="00D16D59" w:rsidP="00D16D59"/>
    <w:p w14:paraId="23760C93" w14:textId="5094A1DB" w:rsidR="00E44459" w:rsidRDefault="00D16D59" w:rsidP="00D16D59">
      <w:r>
        <w:t>This memo is the first Program document to provide both all-inclusive reporting for a single calendar year (2018) of Program water projects operations (both state projects and WAP projects) and comprehensive accounting</w:t>
      </w:r>
      <w:r w:rsidR="006E58E6">
        <w:rPr>
          <w:rStyle w:val="FootnoteReference"/>
        </w:rPr>
        <w:footnoteReference w:id="2"/>
      </w:r>
      <w:r>
        <w:t xml:space="preserve"> of water projects operations since the start of the First Increment in 2007.</w:t>
      </w:r>
      <w:r w:rsidR="00486605">
        <w:t xml:space="preserve">  </w:t>
      </w:r>
      <w:r w:rsidR="00E44459">
        <w:t xml:space="preserve">The EDO plans to update this memo annually, and </w:t>
      </w:r>
      <w:r w:rsidR="00181631">
        <w:t>the content will be adjusted as needed</w:t>
      </w:r>
      <w:r w:rsidR="00E44459">
        <w:t xml:space="preserve"> when new WAP projects are added to the Program’s water portfolio</w:t>
      </w:r>
      <w:r w:rsidR="00181631">
        <w:t xml:space="preserve"> (or, potentially, when water projects are terminated)</w:t>
      </w:r>
      <w:r w:rsidR="00E44459">
        <w:t>.</w:t>
      </w:r>
    </w:p>
    <w:p w14:paraId="13E78567" w14:textId="77777777" w:rsidR="00E44459" w:rsidRDefault="00E44459" w:rsidP="00D16D59"/>
    <w:p w14:paraId="298461EC" w14:textId="624ECBD3" w:rsidR="00486605" w:rsidRDefault="00486605" w:rsidP="00D16D59">
      <w:r>
        <w:t xml:space="preserve">For groundwater recharge projects, the operations accounting </w:t>
      </w:r>
      <w:r w:rsidR="00170154">
        <w:t xml:space="preserve">is </w:t>
      </w:r>
      <w:r w:rsidR="00E44459">
        <w:t xml:space="preserve">generally </w:t>
      </w:r>
      <w:r w:rsidR="00170154">
        <w:t xml:space="preserve">a process that begins with measured diversions of excess flows from the Platte River.  Groundwater models or response functions are used to simulate the processes of seepage and migration of water through the alluvial aquifer.  Once the timing and volume of river return flows (accretions) is estimated, transit loss factors are used to route water from the point or reach of return to Grand Island, Nebraska.  The resulting volumes of Program project water reaching Grand Island are then compared to target flow deficits to determine the amount of shortage reduction credit or operational yield for the project. </w:t>
      </w:r>
      <w:r w:rsidR="00D16D59">
        <w:t xml:space="preserve">  </w:t>
      </w:r>
    </w:p>
    <w:p w14:paraId="03EE3A45" w14:textId="77777777" w:rsidR="00345899" w:rsidRDefault="00345899" w:rsidP="00D16D59"/>
    <w:p w14:paraId="70C7EF65" w14:textId="0B85A86C" w:rsidR="00181631" w:rsidRDefault="00181631" w:rsidP="00D16D59">
      <w:r>
        <w:lastRenderedPageBreak/>
        <w:t xml:space="preserve">The volumes of </w:t>
      </w:r>
      <w:r w:rsidR="00B82541">
        <w:t>water</w:t>
      </w:r>
      <w:r>
        <w:t xml:space="preserve"> credited to the Lake McConaughy EA</w:t>
      </w:r>
      <w:r w:rsidR="00B82541">
        <w:t xml:space="preserve"> from individual Program water projects</w:t>
      </w:r>
      <w:r>
        <w:t xml:space="preserve"> are confirmed through data or documentation from the Nebraska Department of Natural Resources (NDNR)</w:t>
      </w:r>
      <w:r w:rsidR="00B82541">
        <w:t xml:space="preserve">, after which the water loses the </w:t>
      </w:r>
      <w:r w:rsidR="00D417A2">
        <w:t>distinct</w:t>
      </w:r>
      <w:r w:rsidR="00B82541">
        <w:t xml:space="preserve"> identity of its origin.  Collective release volumes from the Lake McConaughy EA and routing from Kingsley Dam to Grand Island are also derived from measurements or model results generated by NDNR.  Volumes of Lake McConaughy EA water reaching Grand Island are likewise compared to target flow deficits to determine the amount shortage reduction credits.</w:t>
      </w:r>
    </w:p>
    <w:p w14:paraId="5247D7A8" w14:textId="77777777" w:rsidR="00486605" w:rsidRDefault="00486605" w:rsidP="00D16D59"/>
    <w:p w14:paraId="3123905D" w14:textId="3AC6B4EA" w:rsidR="00D16D59" w:rsidRDefault="00D16D59" w:rsidP="00D16D59">
      <w:r w:rsidRPr="00150FB3">
        <w:rPr>
          <w:b/>
        </w:rPr>
        <w:t>Table ES-1</w:t>
      </w:r>
      <w:r>
        <w:t xml:space="preserve"> summarizes </w:t>
      </w:r>
      <w:r w:rsidR="008D1EC3">
        <w:t>groundwater recharge diversions and accretions</w:t>
      </w:r>
      <w:r>
        <w:t xml:space="preserve"> in calendar year 2018.</w:t>
      </w:r>
      <w:r w:rsidR="00F03F6B">
        <w:t xml:space="preserve">  Cells that are blacked out in the table indicate data that is not readily available to the EDO at this time.  For some projects (e.g., Tamarack I and CPNRD canal recharge</w:t>
      </w:r>
      <w:r w:rsidR="004409A8">
        <w:t xml:space="preserve"> diversions</w:t>
      </w:r>
      <w:r w:rsidR="00F03F6B">
        <w:t>), this is a matter of how reporting or invoicing is done for the project.</w:t>
      </w:r>
      <w:r w:rsidR="004409A8">
        <w:t xml:space="preserve">  In other cases (e.g., CPNRD and NPPD canal recharge accretions and routing), the EDO has not yet developed the tools necessary to complete the analyses; it is anticipated that those tools will be available for the next iteration of this memo. </w:t>
      </w:r>
      <w:r w:rsidR="00F03F6B">
        <w:t xml:space="preserve"> </w:t>
      </w:r>
      <w:r w:rsidR="008D1EC3" w:rsidRPr="008E31CE">
        <w:rPr>
          <w:b/>
        </w:rPr>
        <w:t>Table ES-2</w:t>
      </w:r>
      <w:r w:rsidR="008D1EC3">
        <w:t xml:space="preserve"> summarizes Lake McConaughy EA accruals and releases in calendar year 2018.</w:t>
      </w:r>
      <w:r w:rsidR="00F54473">
        <w:t xml:space="preserve">  The “upstream releases” column is only applicable to the two projects with water originating from Pathfinder Modification Project accounts.</w:t>
      </w:r>
    </w:p>
    <w:p w14:paraId="74173F7C" w14:textId="77777777" w:rsidR="00092FE1" w:rsidRDefault="00092FE1" w:rsidP="00D16D59"/>
    <w:p w14:paraId="32C6EE3F" w14:textId="6380E36C" w:rsidR="00D16D59" w:rsidRPr="008E6D3E" w:rsidRDefault="00D16D59" w:rsidP="00D16D59">
      <w:pPr>
        <w:rPr>
          <w:b/>
          <w:sz w:val="22"/>
        </w:rPr>
      </w:pPr>
      <w:r w:rsidRPr="008E6D3E">
        <w:rPr>
          <w:b/>
          <w:sz w:val="22"/>
        </w:rPr>
        <w:t>Table ES-1</w:t>
      </w:r>
      <w:r w:rsidR="00150FB3" w:rsidRPr="008E6D3E">
        <w:rPr>
          <w:b/>
          <w:sz w:val="22"/>
        </w:rPr>
        <w:t xml:space="preserve">. </w:t>
      </w:r>
      <w:r w:rsidR="00FD257B" w:rsidRPr="008E6D3E">
        <w:rPr>
          <w:b/>
          <w:sz w:val="22"/>
        </w:rPr>
        <w:t>PRRIP Groundwater Recharge Diversions and Accretions</w:t>
      </w:r>
      <w:r w:rsidR="006E58E6" w:rsidRPr="008E6D3E">
        <w:rPr>
          <w:b/>
          <w:sz w:val="22"/>
        </w:rPr>
        <w:t>, 2018</w:t>
      </w:r>
    </w:p>
    <w:tbl>
      <w:tblPr>
        <w:tblStyle w:val="TableGrid"/>
        <w:tblW w:w="0" w:type="auto"/>
        <w:tblLook w:val="04A0" w:firstRow="1" w:lastRow="0" w:firstColumn="1" w:lastColumn="0" w:noHBand="0" w:noVBand="1"/>
      </w:tblPr>
      <w:tblGrid>
        <w:gridCol w:w="3003"/>
        <w:gridCol w:w="838"/>
        <w:gridCol w:w="1116"/>
        <w:gridCol w:w="1027"/>
        <w:gridCol w:w="1127"/>
        <w:gridCol w:w="1143"/>
        <w:gridCol w:w="1096"/>
      </w:tblGrid>
      <w:tr w:rsidR="00150FB3" w14:paraId="6C8437C6" w14:textId="77777777" w:rsidTr="008D1EC3">
        <w:tc>
          <w:tcPr>
            <w:tcW w:w="3055" w:type="dxa"/>
            <w:shd w:val="clear" w:color="auto" w:fill="C2D69B" w:themeFill="accent3" w:themeFillTint="99"/>
            <w:vAlign w:val="bottom"/>
          </w:tcPr>
          <w:p w14:paraId="1733AE1B" w14:textId="68BE2CFC" w:rsidR="00FD257B" w:rsidRPr="00150FB3" w:rsidRDefault="00150FB3" w:rsidP="00150FB3">
            <w:pPr>
              <w:jc w:val="center"/>
              <w:rPr>
                <w:b/>
                <w:sz w:val="20"/>
                <w:szCs w:val="20"/>
              </w:rPr>
            </w:pPr>
            <w:r w:rsidRPr="00150FB3">
              <w:rPr>
                <w:b/>
                <w:sz w:val="20"/>
                <w:szCs w:val="20"/>
              </w:rPr>
              <w:t>Project</w:t>
            </w:r>
          </w:p>
        </w:tc>
        <w:tc>
          <w:tcPr>
            <w:tcW w:w="786" w:type="dxa"/>
            <w:shd w:val="clear" w:color="auto" w:fill="C2D69B" w:themeFill="accent3" w:themeFillTint="99"/>
            <w:vAlign w:val="bottom"/>
          </w:tcPr>
          <w:p w14:paraId="34AB0A57" w14:textId="6C583284" w:rsidR="00FD257B" w:rsidRPr="00150FB3" w:rsidRDefault="00150FB3" w:rsidP="00150FB3">
            <w:pPr>
              <w:jc w:val="center"/>
              <w:rPr>
                <w:b/>
                <w:sz w:val="20"/>
                <w:szCs w:val="20"/>
              </w:rPr>
            </w:pPr>
            <w:r>
              <w:rPr>
                <w:b/>
                <w:sz w:val="20"/>
                <w:szCs w:val="20"/>
              </w:rPr>
              <w:t xml:space="preserve">Project </w:t>
            </w:r>
            <w:r w:rsidRPr="00150FB3">
              <w:rPr>
                <w:b/>
                <w:sz w:val="20"/>
                <w:szCs w:val="20"/>
              </w:rPr>
              <w:t>Type</w:t>
            </w:r>
          </w:p>
        </w:tc>
        <w:tc>
          <w:tcPr>
            <w:tcW w:w="1116" w:type="dxa"/>
            <w:shd w:val="clear" w:color="auto" w:fill="C2D69B" w:themeFill="accent3" w:themeFillTint="99"/>
            <w:vAlign w:val="bottom"/>
          </w:tcPr>
          <w:p w14:paraId="20B87EDA" w14:textId="51185C8E" w:rsidR="00FD257B" w:rsidRPr="00150FB3" w:rsidRDefault="00150FB3" w:rsidP="00150FB3">
            <w:pPr>
              <w:jc w:val="center"/>
              <w:rPr>
                <w:b/>
                <w:sz w:val="20"/>
                <w:szCs w:val="20"/>
              </w:rPr>
            </w:pPr>
            <w:r w:rsidRPr="00150FB3">
              <w:rPr>
                <w:b/>
                <w:sz w:val="20"/>
                <w:szCs w:val="20"/>
              </w:rPr>
              <w:t>Diversions [AF]</w:t>
            </w:r>
          </w:p>
        </w:tc>
        <w:tc>
          <w:tcPr>
            <w:tcW w:w="1027" w:type="dxa"/>
            <w:shd w:val="clear" w:color="auto" w:fill="C2D69B" w:themeFill="accent3" w:themeFillTint="99"/>
            <w:vAlign w:val="bottom"/>
          </w:tcPr>
          <w:p w14:paraId="60E74377" w14:textId="6B21C153" w:rsidR="00FD257B" w:rsidRPr="00150FB3" w:rsidRDefault="00150FB3" w:rsidP="00150FB3">
            <w:pPr>
              <w:jc w:val="center"/>
              <w:rPr>
                <w:b/>
                <w:sz w:val="20"/>
                <w:szCs w:val="20"/>
              </w:rPr>
            </w:pPr>
            <w:r w:rsidRPr="00150FB3">
              <w:rPr>
                <w:b/>
                <w:sz w:val="20"/>
                <w:szCs w:val="20"/>
              </w:rPr>
              <w:t>Recharge [AF]</w:t>
            </w:r>
          </w:p>
        </w:tc>
        <w:tc>
          <w:tcPr>
            <w:tcW w:w="1127" w:type="dxa"/>
            <w:shd w:val="clear" w:color="auto" w:fill="C2D69B" w:themeFill="accent3" w:themeFillTint="99"/>
            <w:vAlign w:val="bottom"/>
          </w:tcPr>
          <w:p w14:paraId="760B42DD" w14:textId="6353D548" w:rsidR="00150FB3" w:rsidRDefault="00150FB3" w:rsidP="00150FB3">
            <w:pPr>
              <w:jc w:val="center"/>
              <w:rPr>
                <w:b/>
                <w:sz w:val="20"/>
                <w:szCs w:val="20"/>
              </w:rPr>
            </w:pPr>
            <w:r w:rsidRPr="00150FB3">
              <w:rPr>
                <w:b/>
                <w:sz w:val="20"/>
                <w:szCs w:val="20"/>
              </w:rPr>
              <w:t>Total Accretions at Point of Return</w:t>
            </w:r>
            <w:r w:rsidR="00F96F37">
              <w:rPr>
                <w:b/>
                <w:sz w:val="20"/>
                <w:szCs w:val="20"/>
                <w:vertAlign w:val="superscript"/>
              </w:rPr>
              <w:t>1</w:t>
            </w:r>
          </w:p>
          <w:p w14:paraId="23141701" w14:textId="11E41521" w:rsidR="00FD257B" w:rsidRPr="00150FB3" w:rsidRDefault="00150FB3" w:rsidP="00150FB3">
            <w:pPr>
              <w:jc w:val="center"/>
              <w:rPr>
                <w:b/>
                <w:sz w:val="20"/>
                <w:szCs w:val="20"/>
              </w:rPr>
            </w:pPr>
            <w:r w:rsidRPr="00150FB3">
              <w:rPr>
                <w:b/>
                <w:sz w:val="20"/>
                <w:szCs w:val="20"/>
              </w:rPr>
              <w:t>[AF]</w:t>
            </w:r>
          </w:p>
        </w:tc>
        <w:tc>
          <w:tcPr>
            <w:tcW w:w="1143" w:type="dxa"/>
            <w:shd w:val="clear" w:color="auto" w:fill="C2D69B" w:themeFill="accent3" w:themeFillTint="99"/>
            <w:vAlign w:val="bottom"/>
          </w:tcPr>
          <w:p w14:paraId="7D3E49EE" w14:textId="77777777" w:rsidR="00150FB3" w:rsidRDefault="00150FB3" w:rsidP="00150FB3">
            <w:pPr>
              <w:jc w:val="center"/>
              <w:rPr>
                <w:b/>
                <w:sz w:val="20"/>
                <w:szCs w:val="20"/>
              </w:rPr>
            </w:pPr>
            <w:r w:rsidRPr="00150FB3">
              <w:rPr>
                <w:b/>
                <w:sz w:val="20"/>
                <w:szCs w:val="20"/>
              </w:rPr>
              <w:t>Total Accretions Reaching Grand Island</w:t>
            </w:r>
          </w:p>
          <w:p w14:paraId="54C354FB" w14:textId="1049E0B5" w:rsidR="00FD257B" w:rsidRPr="00150FB3" w:rsidRDefault="00150FB3" w:rsidP="00150FB3">
            <w:pPr>
              <w:jc w:val="center"/>
              <w:rPr>
                <w:b/>
                <w:sz w:val="20"/>
                <w:szCs w:val="20"/>
              </w:rPr>
            </w:pPr>
            <w:r w:rsidRPr="00150FB3">
              <w:rPr>
                <w:b/>
                <w:sz w:val="20"/>
                <w:szCs w:val="20"/>
              </w:rPr>
              <w:t>[AF]</w:t>
            </w:r>
          </w:p>
        </w:tc>
        <w:tc>
          <w:tcPr>
            <w:tcW w:w="1096" w:type="dxa"/>
            <w:shd w:val="clear" w:color="auto" w:fill="C2D69B" w:themeFill="accent3" w:themeFillTint="99"/>
            <w:vAlign w:val="bottom"/>
          </w:tcPr>
          <w:p w14:paraId="7CD9AA24" w14:textId="77777777" w:rsidR="00FD257B" w:rsidRDefault="00150FB3" w:rsidP="00150FB3">
            <w:pPr>
              <w:jc w:val="center"/>
              <w:rPr>
                <w:b/>
                <w:sz w:val="20"/>
                <w:szCs w:val="20"/>
              </w:rPr>
            </w:pPr>
            <w:r w:rsidRPr="00150FB3">
              <w:rPr>
                <w:b/>
                <w:sz w:val="20"/>
                <w:szCs w:val="20"/>
              </w:rPr>
              <w:t>Shortage Reduction Credits at Grand Island</w:t>
            </w:r>
          </w:p>
          <w:p w14:paraId="64A0164B" w14:textId="465D3F2D" w:rsidR="00150FB3" w:rsidRPr="00150FB3" w:rsidRDefault="00150FB3" w:rsidP="00150FB3">
            <w:pPr>
              <w:jc w:val="center"/>
              <w:rPr>
                <w:b/>
                <w:sz w:val="20"/>
                <w:szCs w:val="20"/>
              </w:rPr>
            </w:pPr>
            <w:r>
              <w:rPr>
                <w:b/>
                <w:sz w:val="20"/>
                <w:szCs w:val="20"/>
              </w:rPr>
              <w:t>[AF]</w:t>
            </w:r>
          </w:p>
        </w:tc>
      </w:tr>
      <w:tr w:rsidR="00150FB3" w14:paraId="28A4F3D0" w14:textId="77777777" w:rsidTr="00092FE1">
        <w:tc>
          <w:tcPr>
            <w:tcW w:w="3055" w:type="dxa"/>
            <w:vAlign w:val="center"/>
          </w:tcPr>
          <w:p w14:paraId="275CA2CA" w14:textId="7DA84055" w:rsidR="00FD257B" w:rsidRPr="00150FB3" w:rsidRDefault="00150FB3" w:rsidP="00D16D59">
            <w:pPr>
              <w:rPr>
                <w:sz w:val="20"/>
                <w:szCs w:val="20"/>
              </w:rPr>
            </w:pPr>
            <w:r w:rsidRPr="00150FB3">
              <w:rPr>
                <w:sz w:val="20"/>
                <w:szCs w:val="20"/>
              </w:rPr>
              <w:t>Tamarack I</w:t>
            </w:r>
          </w:p>
        </w:tc>
        <w:tc>
          <w:tcPr>
            <w:tcW w:w="786" w:type="dxa"/>
            <w:vAlign w:val="center"/>
          </w:tcPr>
          <w:p w14:paraId="27DDDC9A" w14:textId="33FCDD2B" w:rsidR="00FD257B" w:rsidRPr="00150FB3" w:rsidRDefault="00150FB3" w:rsidP="00150FB3">
            <w:pPr>
              <w:jc w:val="center"/>
              <w:rPr>
                <w:sz w:val="20"/>
                <w:szCs w:val="20"/>
              </w:rPr>
            </w:pPr>
            <w:r>
              <w:rPr>
                <w:sz w:val="20"/>
                <w:szCs w:val="20"/>
              </w:rPr>
              <w:t>State</w:t>
            </w:r>
          </w:p>
        </w:tc>
        <w:tc>
          <w:tcPr>
            <w:tcW w:w="1116" w:type="dxa"/>
            <w:shd w:val="clear" w:color="auto" w:fill="auto"/>
            <w:vAlign w:val="center"/>
          </w:tcPr>
          <w:p w14:paraId="0564C2C9" w14:textId="16DB178C" w:rsidR="00FD257B" w:rsidRPr="00092FE1" w:rsidRDefault="00092FE1" w:rsidP="00150FB3">
            <w:pPr>
              <w:jc w:val="center"/>
              <w:rPr>
                <w:sz w:val="20"/>
                <w:szCs w:val="20"/>
              </w:rPr>
            </w:pPr>
            <w:r>
              <w:rPr>
                <w:sz w:val="20"/>
                <w:szCs w:val="20"/>
              </w:rPr>
              <w:t>27,610</w:t>
            </w:r>
          </w:p>
        </w:tc>
        <w:tc>
          <w:tcPr>
            <w:tcW w:w="1027" w:type="dxa"/>
            <w:shd w:val="clear" w:color="auto" w:fill="000000" w:themeFill="text1"/>
            <w:vAlign w:val="center"/>
          </w:tcPr>
          <w:p w14:paraId="05914D66" w14:textId="30C34B4C" w:rsidR="00FD257B" w:rsidRPr="00150FB3" w:rsidRDefault="00FD257B" w:rsidP="00150FB3">
            <w:pPr>
              <w:jc w:val="center"/>
              <w:rPr>
                <w:sz w:val="20"/>
                <w:szCs w:val="20"/>
              </w:rPr>
            </w:pPr>
          </w:p>
        </w:tc>
        <w:tc>
          <w:tcPr>
            <w:tcW w:w="1127" w:type="dxa"/>
            <w:vAlign w:val="center"/>
          </w:tcPr>
          <w:p w14:paraId="3252F442" w14:textId="447EE236" w:rsidR="00FD257B" w:rsidRPr="00150FB3" w:rsidRDefault="00092FE1" w:rsidP="00150FB3">
            <w:pPr>
              <w:jc w:val="center"/>
              <w:rPr>
                <w:sz w:val="20"/>
                <w:szCs w:val="20"/>
              </w:rPr>
            </w:pPr>
            <w:r>
              <w:rPr>
                <w:sz w:val="20"/>
                <w:szCs w:val="20"/>
              </w:rPr>
              <w:t>23,250</w:t>
            </w:r>
          </w:p>
        </w:tc>
        <w:tc>
          <w:tcPr>
            <w:tcW w:w="1143" w:type="dxa"/>
            <w:shd w:val="clear" w:color="auto" w:fill="000000" w:themeFill="text1"/>
            <w:vAlign w:val="center"/>
          </w:tcPr>
          <w:p w14:paraId="33715647" w14:textId="52B90875" w:rsidR="00FD257B" w:rsidRPr="00150FB3" w:rsidRDefault="00FD257B" w:rsidP="00150FB3">
            <w:pPr>
              <w:jc w:val="center"/>
              <w:rPr>
                <w:sz w:val="20"/>
                <w:szCs w:val="20"/>
              </w:rPr>
            </w:pPr>
          </w:p>
        </w:tc>
        <w:tc>
          <w:tcPr>
            <w:tcW w:w="1096" w:type="dxa"/>
            <w:vAlign w:val="center"/>
          </w:tcPr>
          <w:p w14:paraId="1E07B484" w14:textId="7D17D7FB" w:rsidR="00FD257B" w:rsidRPr="00150FB3" w:rsidRDefault="00092FE1" w:rsidP="00150FB3">
            <w:pPr>
              <w:jc w:val="center"/>
              <w:rPr>
                <w:sz w:val="20"/>
                <w:szCs w:val="20"/>
              </w:rPr>
            </w:pPr>
            <w:r>
              <w:rPr>
                <w:sz w:val="20"/>
                <w:szCs w:val="20"/>
              </w:rPr>
              <w:t>10,350</w:t>
            </w:r>
          </w:p>
        </w:tc>
      </w:tr>
      <w:tr w:rsidR="00150FB3" w14:paraId="7C32419C" w14:textId="77777777" w:rsidTr="00150FB3">
        <w:tc>
          <w:tcPr>
            <w:tcW w:w="3055" w:type="dxa"/>
            <w:vAlign w:val="center"/>
          </w:tcPr>
          <w:p w14:paraId="5B2A2D74" w14:textId="4185201D" w:rsidR="00FD257B" w:rsidRPr="00150FB3" w:rsidRDefault="00150FB3" w:rsidP="00D16D59">
            <w:pPr>
              <w:rPr>
                <w:sz w:val="20"/>
                <w:szCs w:val="20"/>
              </w:rPr>
            </w:pPr>
            <w:r w:rsidRPr="00150FB3">
              <w:rPr>
                <w:sz w:val="20"/>
                <w:szCs w:val="20"/>
              </w:rPr>
              <w:t>Phelps County Canal Groundwater Recharge</w:t>
            </w:r>
          </w:p>
        </w:tc>
        <w:tc>
          <w:tcPr>
            <w:tcW w:w="786" w:type="dxa"/>
            <w:vAlign w:val="center"/>
          </w:tcPr>
          <w:p w14:paraId="7C1EB280" w14:textId="7E0644D5" w:rsidR="00FD257B" w:rsidRPr="00150FB3" w:rsidRDefault="00150FB3" w:rsidP="00150FB3">
            <w:pPr>
              <w:jc w:val="center"/>
              <w:rPr>
                <w:sz w:val="20"/>
                <w:szCs w:val="20"/>
              </w:rPr>
            </w:pPr>
            <w:r>
              <w:rPr>
                <w:sz w:val="20"/>
                <w:szCs w:val="20"/>
              </w:rPr>
              <w:t>WAP</w:t>
            </w:r>
          </w:p>
        </w:tc>
        <w:tc>
          <w:tcPr>
            <w:tcW w:w="1116" w:type="dxa"/>
            <w:vAlign w:val="center"/>
          </w:tcPr>
          <w:p w14:paraId="40B2BFE7" w14:textId="059C80A9" w:rsidR="00FD257B" w:rsidRPr="00150FB3" w:rsidRDefault="00150FB3" w:rsidP="00150FB3">
            <w:pPr>
              <w:jc w:val="center"/>
              <w:rPr>
                <w:sz w:val="20"/>
                <w:szCs w:val="20"/>
              </w:rPr>
            </w:pPr>
            <w:r>
              <w:rPr>
                <w:sz w:val="20"/>
                <w:szCs w:val="20"/>
              </w:rPr>
              <w:t>3,258</w:t>
            </w:r>
          </w:p>
        </w:tc>
        <w:tc>
          <w:tcPr>
            <w:tcW w:w="1027" w:type="dxa"/>
            <w:vAlign w:val="center"/>
          </w:tcPr>
          <w:p w14:paraId="2478CDDF" w14:textId="142D2930" w:rsidR="00FD257B" w:rsidRPr="007166DD" w:rsidRDefault="00F2489E" w:rsidP="00150FB3">
            <w:pPr>
              <w:jc w:val="center"/>
              <w:rPr>
                <w:sz w:val="20"/>
                <w:szCs w:val="20"/>
                <w:highlight w:val="yellow"/>
              </w:rPr>
            </w:pPr>
            <w:r w:rsidRPr="007166DD">
              <w:rPr>
                <w:sz w:val="20"/>
                <w:szCs w:val="20"/>
                <w:highlight w:val="yellow"/>
              </w:rPr>
              <w:t>TBD</w:t>
            </w:r>
          </w:p>
        </w:tc>
        <w:tc>
          <w:tcPr>
            <w:tcW w:w="1127" w:type="dxa"/>
            <w:vAlign w:val="center"/>
          </w:tcPr>
          <w:p w14:paraId="497EAC64" w14:textId="7D6D909D" w:rsidR="00FD257B" w:rsidRPr="007166DD" w:rsidRDefault="00F2489E" w:rsidP="00150FB3">
            <w:pPr>
              <w:jc w:val="center"/>
              <w:rPr>
                <w:sz w:val="20"/>
                <w:szCs w:val="20"/>
                <w:highlight w:val="yellow"/>
              </w:rPr>
            </w:pPr>
            <w:r w:rsidRPr="007166DD">
              <w:rPr>
                <w:sz w:val="20"/>
                <w:szCs w:val="20"/>
                <w:highlight w:val="yellow"/>
              </w:rPr>
              <w:t>TBD</w:t>
            </w:r>
          </w:p>
        </w:tc>
        <w:tc>
          <w:tcPr>
            <w:tcW w:w="1143" w:type="dxa"/>
            <w:vAlign w:val="center"/>
          </w:tcPr>
          <w:p w14:paraId="1BA86401" w14:textId="6480267C" w:rsidR="00FD257B" w:rsidRPr="007166DD" w:rsidRDefault="00F2489E" w:rsidP="00150FB3">
            <w:pPr>
              <w:jc w:val="center"/>
              <w:rPr>
                <w:sz w:val="20"/>
                <w:szCs w:val="20"/>
                <w:highlight w:val="yellow"/>
              </w:rPr>
            </w:pPr>
            <w:r w:rsidRPr="007166DD">
              <w:rPr>
                <w:sz w:val="20"/>
                <w:szCs w:val="20"/>
                <w:highlight w:val="yellow"/>
              </w:rPr>
              <w:t>TBD</w:t>
            </w:r>
          </w:p>
        </w:tc>
        <w:tc>
          <w:tcPr>
            <w:tcW w:w="1096" w:type="dxa"/>
            <w:vAlign w:val="center"/>
          </w:tcPr>
          <w:p w14:paraId="26112E84" w14:textId="5E3A5BE3" w:rsidR="00FD257B" w:rsidRPr="007166DD" w:rsidRDefault="00F2489E" w:rsidP="00150FB3">
            <w:pPr>
              <w:jc w:val="center"/>
              <w:rPr>
                <w:sz w:val="20"/>
                <w:szCs w:val="20"/>
                <w:highlight w:val="yellow"/>
              </w:rPr>
            </w:pPr>
            <w:r w:rsidRPr="007166DD">
              <w:rPr>
                <w:sz w:val="20"/>
                <w:szCs w:val="20"/>
                <w:highlight w:val="yellow"/>
              </w:rPr>
              <w:t>TBD</w:t>
            </w:r>
          </w:p>
        </w:tc>
      </w:tr>
      <w:tr w:rsidR="00150FB3" w14:paraId="765BBDFB" w14:textId="77777777" w:rsidTr="00150FB3">
        <w:tc>
          <w:tcPr>
            <w:tcW w:w="3055" w:type="dxa"/>
            <w:vAlign w:val="center"/>
          </w:tcPr>
          <w:p w14:paraId="2F0BFEB3" w14:textId="17BFE11F" w:rsidR="00FD257B" w:rsidRPr="00150FB3" w:rsidRDefault="00150FB3" w:rsidP="00D16D59">
            <w:pPr>
              <w:rPr>
                <w:sz w:val="20"/>
                <w:szCs w:val="20"/>
              </w:rPr>
            </w:pPr>
            <w:r w:rsidRPr="00150FB3">
              <w:rPr>
                <w:sz w:val="20"/>
                <w:szCs w:val="20"/>
              </w:rPr>
              <w:t>Elwood Reservoir Recharge</w:t>
            </w:r>
          </w:p>
        </w:tc>
        <w:tc>
          <w:tcPr>
            <w:tcW w:w="786" w:type="dxa"/>
            <w:vAlign w:val="center"/>
          </w:tcPr>
          <w:p w14:paraId="7A36EAC5" w14:textId="4D4DEB5E" w:rsidR="00FD257B" w:rsidRPr="00150FB3" w:rsidRDefault="00150FB3" w:rsidP="00150FB3">
            <w:pPr>
              <w:jc w:val="center"/>
              <w:rPr>
                <w:sz w:val="20"/>
                <w:szCs w:val="20"/>
              </w:rPr>
            </w:pPr>
            <w:r>
              <w:rPr>
                <w:sz w:val="20"/>
                <w:szCs w:val="20"/>
              </w:rPr>
              <w:t>WAP</w:t>
            </w:r>
          </w:p>
        </w:tc>
        <w:tc>
          <w:tcPr>
            <w:tcW w:w="1116" w:type="dxa"/>
            <w:vAlign w:val="center"/>
          </w:tcPr>
          <w:p w14:paraId="27D98E4A" w14:textId="4C3D8F86" w:rsidR="00FD257B" w:rsidRPr="00150FB3" w:rsidRDefault="00150FB3" w:rsidP="00150FB3">
            <w:pPr>
              <w:jc w:val="center"/>
              <w:rPr>
                <w:sz w:val="20"/>
                <w:szCs w:val="20"/>
              </w:rPr>
            </w:pPr>
            <w:r>
              <w:rPr>
                <w:sz w:val="20"/>
                <w:szCs w:val="20"/>
              </w:rPr>
              <w:t>14,916</w:t>
            </w:r>
          </w:p>
        </w:tc>
        <w:tc>
          <w:tcPr>
            <w:tcW w:w="1027" w:type="dxa"/>
            <w:vAlign w:val="center"/>
          </w:tcPr>
          <w:p w14:paraId="60347723" w14:textId="0F973C7A" w:rsidR="00FD257B" w:rsidRPr="00150FB3" w:rsidRDefault="00150FB3" w:rsidP="00150FB3">
            <w:pPr>
              <w:jc w:val="center"/>
              <w:rPr>
                <w:sz w:val="20"/>
                <w:szCs w:val="20"/>
              </w:rPr>
            </w:pPr>
            <w:r>
              <w:rPr>
                <w:sz w:val="20"/>
                <w:szCs w:val="20"/>
              </w:rPr>
              <w:t>8,200</w:t>
            </w:r>
          </w:p>
        </w:tc>
        <w:tc>
          <w:tcPr>
            <w:tcW w:w="1127" w:type="dxa"/>
            <w:vAlign w:val="center"/>
          </w:tcPr>
          <w:p w14:paraId="57CB53C7" w14:textId="00E247BD" w:rsidR="00FD257B" w:rsidRPr="00150FB3" w:rsidRDefault="00150FB3" w:rsidP="00150FB3">
            <w:pPr>
              <w:jc w:val="center"/>
              <w:rPr>
                <w:sz w:val="20"/>
                <w:szCs w:val="20"/>
              </w:rPr>
            </w:pPr>
            <w:r>
              <w:rPr>
                <w:sz w:val="20"/>
                <w:szCs w:val="20"/>
              </w:rPr>
              <w:t>2,000</w:t>
            </w:r>
          </w:p>
        </w:tc>
        <w:tc>
          <w:tcPr>
            <w:tcW w:w="1143" w:type="dxa"/>
            <w:vAlign w:val="center"/>
          </w:tcPr>
          <w:p w14:paraId="2E59DFDF" w14:textId="2557C45C" w:rsidR="00FD257B" w:rsidRPr="00150FB3" w:rsidRDefault="00150FB3" w:rsidP="00150FB3">
            <w:pPr>
              <w:jc w:val="center"/>
              <w:rPr>
                <w:sz w:val="20"/>
                <w:szCs w:val="20"/>
              </w:rPr>
            </w:pPr>
            <w:r>
              <w:rPr>
                <w:sz w:val="20"/>
                <w:szCs w:val="20"/>
              </w:rPr>
              <w:t>1,700</w:t>
            </w:r>
          </w:p>
        </w:tc>
        <w:tc>
          <w:tcPr>
            <w:tcW w:w="1096" w:type="dxa"/>
            <w:vAlign w:val="center"/>
          </w:tcPr>
          <w:p w14:paraId="48EE3B0A" w14:textId="0A4F451E" w:rsidR="00FD257B" w:rsidRPr="00150FB3" w:rsidRDefault="00150FB3" w:rsidP="00150FB3">
            <w:pPr>
              <w:jc w:val="center"/>
              <w:rPr>
                <w:sz w:val="20"/>
                <w:szCs w:val="20"/>
              </w:rPr>
            </w:pPr>
            <w:r>
              <w:rPr>
                <w:sz w:val="20"/>
                <w:szCs w:val="20"/>
              </w:rPr>
              <w:t>1,000</w:t>
            </w:r>
          </w:p>
        </w:tc>
      </w:tr>
      <w:tr w:rsidR="00150FB3" w14:paraId="4EA31556" w14:textId="77777777" w:rsidTr="000F1CA7">
        <w:tc>
          <w:tcPr>
            <w:tcW w:w="3055" w:type="dxa"/>
            <w:vAlign w:val="center"/>
          </w:tcPr>
          <w:p w14:paraId="38942DBC" w14:textId="2A91BB0D" w:rsidR="00FD257B" w:rsidRPr="00150FB3" w:rsidRDefault="00150FB3" w:rsidP="00D16D59">
            <w:pPr>
              <w:rPr>
                <w:sz w:val="20"/>
                <w:szCs w:val="20"/>
              </w:rPr>
            </w:pPr>
            <w:r w:rsidRPr="00150FB3">
              <w:rPr>
                <w:sz w:val="20"/>
                <w:szCs w:val="20"/>
              </w:rPr>
              <w:t>CPNRD Canal Recharge</w:t>
            </w:r>
          </w:p>
        </w:tc>
        <w:tc>
          <w:tcPr>
            <w:tcW w:w="786" w:type="dxa"/>
            <w:vAlign w:val="center"/>
          </w:tcPr>
          <w:p w14:paraId="27AB6056" w14:textId="3FC0C0D8" w:rsidR="00FD257B" w:rsidRPr="00150FB3" w:rsidRDefault="00150FB3" w:rsidP="00150FB3">
            <w:pPr>
              <w:jc w:val="center"/>
              <w:rPr>
                <w:sz w:val="20"/>
                <w:szCs w:val="20"/>
              </w:rPr>
            </w:pPr>
            <w:r>
              <w:rPr>
                <w:sz w:val="20"/>
                <w:szCs w:val="20"/>
              </w:rPr>
              <w:t>WAP</w:t>
            </w:r>
          </w:p>
        </w:tc>
        <w:tc>
          <w:tcPr>
            <w:tcW w:w="1116" w:type="dxa"/>
            <w:shd w:val="clear" w:color="auto" w:fill="000000" w:themeFill="text1"/>
            <w:vAlign w:val="center"/>
          </w:tcPr>
          <w:p w14:paraId="749B9151" w14:textId="173D967F" w:rsidR="00FD257B" w:rsidRPr="00150FB3" w:rsidRDefault="00FD257B" w:rsidP="00150FB3">
            <w:pPr>
              <w:jc w:val="center"/>
              <w:rPr>
                <w:sz w:val="20"/>
                <w:szCs w:val="20"/>
              </w:rPr>
            </w:pPr>
          </w:p>
        </w:tc>
        <w:tc>
          <w:tcPr>
            <w:tcW w:w="1027" w:type="dxa"/>
            <w:shd w:val="clear" w:color="auto" w:fill="000000" w:themeFill="text1"/>
            <w:vAlign w:val="center"/>
          </w:tcPr>
          <w:p w14:paraId="0F22B49C" w14:textId="44CD68E3" w:rsidR="00FD257B" w:rsidRPr="00150FB3" w:rsidRDefault="00FD257B" w:rsidP="00150FB3">
            <w:pPr>
              <w:jc w:val="center"/>
              <w:rPr>
                <w:sz w:val="20"/>
                <w:szCs w:val="20"/>
              </w:rPr>
            </w:pPr>
          </w:p>
        </w:tc>
        <w:tc>
          <w:tcPr>
            <w:tcW w:w="1127" w:type="dxa"/>
            <w:vAlign w:val="center"/>
          </w:tcPr>
          <w:p w14:paraId="4177729A" w14:textId="1B9E6EB3" w:rsidR="00FD257B" w:rsidRPr="00150FB3" w:rsidRDefault="00150FB3" w:rsidP="00150FB3">
            <w:pPr>
              <w:jc w:val="center"/>
              <w:rPr>
                <w:sz w:val="20"/>
                <w:szCs w:val="20"/>
              </w:rPr>
            </w:pPr>
            <w:r>
              <w:rPr>
                <w:sz w:val="20"/>
                <w:szCs w:val="20"/>
              </w:rPr>
              <w:t>1,866</w:t>
            </w:r>
          </w:p>
        </w:tc>
        <w:tc>
          <w:tcPr>
            <w:tcW w:w="1143" w:type="dxa"/>
            <w:shd w:val="clear" w:color="auto" w:fill="000000" w:themeFill="text1"/>
            <w:vAlign w:val="center"/>
          </w:tcPr>
          <w:p w14:paraId="1E74650D" w14:textId="4B9C4344" w:rsidR="00FD257B" w:rsidRPr="00150FB3" w:rsidRDefault="00FD257B" w:rsidP="00150FB3">
            <w:pPr>
              <w:jc w:val="center"/>
              <w:rPr>
                <w:sz w:val="20"/>
                <w:szCs w:val="20"/>
              </w:rPr>
            </w:pPr>
          </w:p>
        </w:tc>
        <w:tc>
          <w:tcPr>
            <w:tcW w:w="1096" w:type="dxa"/>
            <w:shd w:val="clear" w:color="auto" w:fill="000000" w:themeFill="text1"/>
            <w:vAlign w:val="center"/>
          </w:tcPr>
          <w:p w14:paraId="725554CC" w14:textId="35F9CF8E" w:rsidR="00FD257B" w:rsidRPr="00150FB3" w:rsidRDefault="00FD257B" w:rsidP="00150FB3">
            <w:pPr>
              <w:jc w:val="center"/>
              <w:rPr>
                <w:sz w:val="20"/>
                <w:szCs w:val="20"/>
              </w:rPr>
            </w:pPr>
          </w:p>
        </w:tc>
      </w:tr>
      <w:tr w:rsidR="00150FB3" w14:paraId="48A6FB36" w14:textId="77777777" w:rsidTr="000F1CA7">
        <w:tc>
          <w:tcPr>
            <w:tcW w:w="3055" w:type="dxa"/>
            <w:vAlign w:val="center"/>
          </w:tcPr>
          <w:p w14:paraId="61766E90" w14:textId="7C38C907" w:rsidR="00FD257B" w:rsidRPr="00150FB3" w:rsidRDefault="00150FB3" w:rsidP="00D16D59">
            <w:pPr>
              <w:rPr>
                <w:sz w:val="20"/>
                <w:szCs w:val="20"/>
              </w:rPr>
            </w:pPr>
            <w:r w:rsidRPr="00150FB3">
              <w:rPr>
                <w:sz w:val="20"/>
                <w:szCs w:val="20"/>
              </w:rPr>
              <w:t>NPPD Canal Recharge</w:t>
            </w:r>
          </w:p>
        </w:tc>
        <w:tc>
          <w:tcPr>
            <w:tcW w:w="786" w:type="dxa"/>
            <w:vAlign w:val="center"/>
          </w:tcPr>
          <w:p w14:paraId="177C80DA" w14:textId="2614606A" w:rsidR="00FD257B" w:rsidRPr="00150FB3" w:rsidRDefault="00150FB3" w:rsidP="00150FB3">
            <w:pPr>
              <w:jc w:val="center"/>
              <w:rPr>
                <w:sz w:val="20"/>
                <w:szCs w:val="20"/>
              </w:rPr>
            </w:pPr>
            <w:r>
              <w:rPr>
                <w:sz w:val="20"/>
                <w:szCs w:val="20"/>
              </w:rPr>
              <w:t>WAP</w:t>
            </w:r>
          </w:p>
        </w:tc>
        <w:tc>
          <w:tcPr>
            <w:tcW w:w="1116" w:type="dxa"/>
            <w:vAlign w:val="center"/>
          </w:tcPr>
          <w:p w14:paraId="1E67EC4F" w14:textId="42F19DF2" w:rsidR="00FD257B" w:rsidRPr="00150FB3" w:rsidRDefault="00150FB3" w:rsidP="00150FB3">
            <w:pPr>
              <w:jc w:val="center"/>
              <w:rPr>
                <w:sz w:val="20"/>
                <w:szCs w:val="20"/>
              </w:rPr>
            </w:pPr>
            <w:r>
              <w:rPr>
                <w:sz w:val="20"/>
                <w:szCs w:val="20"/>
              </w:rPr>
              <w:t>3,346</w:t>
            </w:r>
          </w:p>
        </w:tc>
        <w:tc>
          <w:tcPr>
            <w:tcW w:w="1027" w:type="dxa"/>
            <w:vAlign w:val="center"/>
          </w:tcPr>
          <w:p w14:paraId="13E1669F" w14:textId="3E3DFB8E" w:rsidR="00FD257B" w:rsidRPr="00150FB3" w:rsidRDefault="00150FB3" w:rsidP="00150FB3">
            <w:pPr>
              <w:jc w:val="center"/>
              <w:rPr>
                <w:sz w:val="20"/>
                <w:szCs w:val="20"/>
              </w:rPr>
            </w:pPr>
            <w:r>
              <w:rPr>
                <w:sz w:val="20"/>
                <w:szCs w:val="20"/>
              </w:rPr>
              <w:t>2,701</w:t>
            </w:r>
          </w:p>
        </w:tc>
        <w:tc>
          <w:tcPr>
            <w:tcW w:w="1127" w:type="dxa"/>
            <w:shd w:val="clear" w:color="auto" w:fill="000000" w:themeFill="text1"/>
            <w:vAlign w:val="center"/>
          </w:tcPr>
          <w:p w14:paraId="492AA605" w14:textId="2414331E" w:rsidR="00FD257B" w:rsidRPr="00150FB3" w:rsidRDefault="00FD257B" w:rsidP="00150FB3">
            <w:pPr>
              <w:jc w:val="center"/>
              <w:rPr>
                <w:sz w:val="20"/>
                <w:szCs w:val="20"/>
              </w:rPr>
            </w:pPr>
          </w:p>
        </w:tc>
        <w:tc>
          <w:tcPr>
            <w:tcW w:w="1143" w:type="dxa"/>
            <w:shd w:val="clear" w:color="auto" w:fill="000000" w:themeFill="text1"/>
            <w:vAlign w:val="center"/>
          </w:tcPr>
          <w:p w14:paraId="042FF9DE" w14:textId="7FA62631" w:rsidR="00FD257B" w:rsidRPr="00150FB3" w:rsidRDefault="00FD257B" w:rsidP="00150FB3">
            <w:pPr>
              <w:jc w:val="center"/>
              <w:rPr>
                <w:sz w:val="20"/>
                <w:szCs w:val="20"/>
              </w:rPr>
            </w:pPr>
          </w:p>
        </w:tc>
        <w:tc>
          <w:tcPr>
            <w:tcW w:w="1096" w:type="dxa"/>
            <w:shd w:val="clear" w:color="auto" w:fill="000000" w:themeFill="text1"/>
            <w:vAlign w:val="center"/>
          </w:tcPr>
          <w:p w14:paraId="3F916A47" w14:textId="3D22EB35" w:rsidR="00FD257B" w:rsidRPr="00150FB3" w:rsidRDefault="00FD257B" w:rsidP="00150FB3">
            <w:pPr>
              <w:jc w:val="center"/>
              <w:rPr>
                <w:sz w:val="20"/>
                <w:szCs w:val="20"/>
              </w:rPr>
            </w:pPr>
          </w:p>
        </w:tc>
      </w:tr>
    </w:tbl>
    <w:p w14:paraId="7982B5AC" w14:textId="48A2BD7F" w:rsidR="00C93686" w:rsidRPr="00F96F37" w:rsidRDefault="00F96F37" w:rsidP="00D16D59">
      <w:pPr>
        <w:rPr>
          <w:sz w:val="20"/>
          <w:szCs w:val="20"/>
        </w:rPr>
      </w:pPr>
      <w:r>
        <w:rPr>
          <w:sz w:val="20"/>
          <w:szCs w:val="20"/>
          <w:vertAlign w:val="superscript"/>
        </w:rPr>
        <w:t>1</w:t>
      </w:r>
      <w:r w:rsidR="00C93686" w:rsidRPr="00F96F37">
        <w:rPr>
          <w:sz w:val="20"/>
          <w:szCs w:val="20"/>
        </w:rPr>
        <w:t xml:space="preserve"> Tamarack I point of return is assumed to be the Colorado-Nebraska state line for reporting purposes.  Accretions from all other recharge projects are assumed to return at or upstream of Overton, Nebraska.</w:t>
      </w:r>
    </w:p>
    <w:p w14:paraId="78192738" w14:textId="780287AD" w:rsidR="008D1EC3" w:rsidRDefault="008D1EC3" w:rsidP="00D16D59"/>
    <w:p w14:paraId="0D117144" w14:textId="408EBE51" w:rsidR="008D1EC3" w:rsidRPr="008E6D3E" w:rsidRDefault="008D1EC3" w:rsidP="008D1EC3">
      <w:pPr>
        <w:rPr>
          <w:b/>
          <w:sz w:val="22"/>
        </w:rPr>
      </w:pPr>
      <w:r w:rsidRPr="008E6D3E">
        <w:rPr>
          <w:b/>
          <w:sz w:val="22"/>
        </w:rPr>
        <w:t>Table ES-2. Lake McConaughy EA Accruals and Releases, 2018.</w:t>
      </w:r>
    </w:p>
    <w:tbl>
      <w:tblPr>
        <w:tblStyle w:val="TableGrid"/>
        <w:tblW w:w="0" w:type="auto"/>
        <w:tblLook w:val="04A0" w:firstRow="1" w:lastRow="0" w:firstColumn="1" w:lastColumn="0" w:noHBand="0" w:noVBand="1"/>
      </w:tblPr>
      <w:tblGrid>
        <w:gridCol w:w="3015"/>
        <w:gridCol w:w="838"/>
        <w:gridCol w:w="1115"/>
        <w:gridCol w:w="1023"/>
        <w:gridCol w:w="1123"/>
        <w:gridCol w:w="1140"/>
        <w:gridCol w:w="1096"/>
      </w:tblGrid>
      <w:tr w:rsidR="000F1CA7" w14:paraId="45994D3F" w14:textId="77777777" w:rsidTr="000F1CA7">
        <w:tc>
          <w:tcPr>
            <w:tcW w:w="3015" w:type="dxa"/>
            <w:shd w:val="clear" w:color="auto" w:fill="C2D69B" w:themeFill="accent3" w:themeFillTint="99"/>
            <w:vAlign w:val="bottom"/>
          </w:tcPr>
          <w:p w14:paraId="7132EE07" w14:textId="77777777" w:rsidR="008D1EC3" w:rsidRPr="00150FB3" w:rsidRDefault="008D1EC3" w:rsidP="00A7592C">
            <w:pPr>
              <w:jc w:val="center"/>
              <w:rPr>
                <w:b/>
                <w:sz w:val="20"/>
                <w:szCs w:val="20"/>
              </w:rPr>
            </w:pPr>
            <w:r w:rsidRPr="00150FB3">
              <w:rPr>
                <w:b/>
                <w:sz w:val="20"/>
                <w:szCs w:val="20"/>
              </w:rPr>
              <w:t>Project</w:t>
            </w:r>
          </w:p>
        </w:tc>
        <w:tc>
          <w:tcPr>
            <w:tcW w:w="838" w:type="dxa"/>
            <w:shd w:val="clear" w:color="auto" w:fill="C2D69B" w:themeFill="accent3" w:themeFillTint="99"/>
            <w:vAlign w:val="bottom"/>
          </w:tcPr>
          <w:p w14:paraId="49E288D0" w14:textId="77777777" w:rsidR="008D1EC3" w:rsidRPr="00150FB3" w:rsidRDefault="008D1EC3" w:rsidP="00A7592C">
            <w:pPr>
              <w:jc w:val="center"/>
              <w:rPr>
                <w:b/>
                <w:sz w:val="20"/>
                <w:szCs w:val="20"/>
              </w:rPr>
            </w:pPr>
            <w:r>
              <w:rPr>
                <w:b/>
                <w:sz w:val="20"/>
                <w:szCs w:val="20"/>
              </w:rPr>
              <w:t xml:space="preserve">Project </w:t>
            </w:r>
            <w:r w:rsidRPr="00150FB3">
              <w:rPr>
                <w:b/>
                <w:sz w:val="20"/>
                <w:szCs w:val="20"/>
              </w:rPr>
              <w:t>Type</w:t>
            </w:r>
          </w:p>
        </w:tc>
        <w:tc>
          <w:tcPr>
            <w:tcW w:w="1115" w:type="dxa"/>
            <w:shd w:val="clear" w:color="auto" w:fill="C2D69B" w:themeFill="accent3" w:themeFillTint="99"/>
            <w:vAlign w:val="bottom"/>
          </w:tcPr>
          <w:p w14:paraId="12A78096" w14:textId="24DF6FA9" w:rsidR="008D1EC3" w:rsidRPr="00150FB3" w:rsidRDefault="008D1EC3" w:rsidP="00A7592C">
            <w:pPr>
              <w:jc w:val="center"/>
              <w:rPr>
                <w:b/>
                <w:sz w:val="20"/>
                <w:szCs w:val="20"/>
              </w:rPr>
            </w:pPr>
            <w:r>
              <w:rPr>
                <w:b/>
                <w:sz w:val="20"/>
                <w:szCs w:val="20"/>
              </w:rPr>
              <w:t>Upstream Releases</w:t>
            </w:r>
            <w:r w:rsidRPr="00150FB3">
              <w:rPr>
                <w:b/>
                <w:sz w:val="20"/>
                <w:szCs w:val="20"/>
              </w:rPr>
              <w:t xml:space="preserve"> [AF]</w:t>
            </w:r>
          </w:p>
        </w:tc>
        <w:tc>
          <w:tcPr>
            <w:tcW w:w="1023" w:type="dxa"/>
            <w:shd w:val="clear" w:color="auto" w:fill="C2D69B" w:themeFill="accent3" w:themeFillTint="99"/>
            <w:vAlign w:val="bottom"/>
          </w:tcPr>
          <w:p w14:paraId="3EFCB8FC" w14:textId="119EDB80" w:rsidR="008D1EC3" w:rsidRPr="00150FB3" w:rsidRDefault="008D1EC3" w:rsidP="00A7592C">
            <w:pPr>
              <w:jc w:val="center"/>
              <w:rPr>
                <w:b/>
                <w:sz w:val="20"/>
                <w:szCs w:val="20"/>
              </w:rPr>
            </w:pPr>
            <w:r>
              <w:rPr>
                <w:b/>
                <w:sz w:val="20"/>
                <w:szCs w:val="20"/>
              </w:rPr>
              <w:t>Credits to EA</w:t>
            </w:r>
            <w:r w:rsidRPr="00150FB3">
              <w:rPr>
                <w:b/>
                <w:sz w:val="20"/>
                <w:szCs w:val="20"/>
              </w:rPr>
              <w:t xml:space="preserve"> [AF]</w:t>
            </w:r>
          </w:p>
        </w:tc>
        <w:tc>
          <w:tcPr>
            <w:tcW w:w="1123" w:type="dxa"/>
            <w:shd w:val="clear" w:color="auto" w:fill="C2D69B" w:themeFill="accent3" w:themeFillTint="99"/>
            <w:vAlign w:val="bottom"/>
          </w:tcPr>
          <w:p w14:paraId="005161C2" w14:textId="080277E4" w:rsidR="008D1EC3" w:rsidRDefault="000F1CA7" w:rsidP="00A7592C">
            <w:pPr>
              <w:jc w:val="center"/>
              <w:rPr>
                <w:b/>
                <w:sz w:val="20"/>
                <w:szCs w:val="20"/>
              </w:rPr>
            </w:pPr>
            <w:r>
              <w:rPr>
                <w:b/>
                <w:sz w:val="20"/>
                <w:szCs w:val="20"/>
              </w:rPr>
              <w:t>Total EA Releases</w:t>
            </w:r>
          </w:p>
          <w:p w14:paraId="4D200A85" w14:textId="77777777" w:rsidR="008D1EC3" w:rsidRPr="00150FB3" w:rsidRDefault="008D1EC3" w:rsidP="00A7592C">
            <w:pPr>
              <w:jc w:val="center"/>
              <w:rPr>
                <w:b/>
                <w:sz w:val="20"/>
                <w:szCs w:val="20"/>
              </w:rPr>
            </w:pPr>
            <w:r w:rsidRPr="00150FB3">
              <w:rPr>
                <w:b/>
                <w:sz w:val="20"/>
                <w:szCs w:val="20"/>
              </w:rPr>
              <w:t>[AF]</w:t>
            </w:r>
          </w:p>
        </w:tc>
        <w:tc>
          <w:tcPr>
            <w:tcW w:w="1140" w:type="dxa"/>
            <w:shd w:val="clear" w:color="auto" w:fill="C2D69B" w:themeFill="accent3" w:themeFillTint="99"/>
            <w:vAlign w:val="bottom"/>
          </w:tcPr>
          <w:p w14:paraId="61406F40" w14:textId="5840BF43" w:rsidR="008D1EC3" w:rsidRDefault="008D1EC3" w:rsidP="00A7592C">
            <w:pPr>
              <w:jc w:val="center"/>
              <w:rPr>
                <w:b/>
                <w:sz w:val="20"/>
                <w:szCs w:val="20"/>
              </w:rPr>
            </w:pPr>
            <w:r w:rsidRPr="00150FB3">
              <w:rPr>
                <w:b/>
                <w:sz w:val="20"/>
                <w:szCs w:val="20"/>
              </w:rPr>
              <w:t xml:space="preserve">Total </w:t>
            </w:r>
            <w:r w:rsidR="000F1CA7">
              <w:rPr>
                <w:b/>
                <w:sz w:val="20"/>
                <w:szCs w:val="20"/>
              </w:rPr>
              <w:t>EA Releases</w:t>
            </w:r>
            <w:r w:rsidRPr="00150FB3">
              <w:rPr>
                <w:b/>
                <w:sz w:val="20"/>
                <w:szCs w:val="20"/>
              </w:rPr>
              <w:t xml:space="preserve"> Reaching Grand Island</w:t>
            </w:r>
          </w:p>
          <w:p w14:paraId="7FF8D7CB" w14:textId="77777777" w:rsidR="008D1EC3" w:rsidRPr="00150FB3" w:rsidRDefault="008D1EC3" w:rsidP="00A7592C">
            <w:pPr>
              <w:jc w:val="center"/>
              <w:rPr>
                <w:b/>
                <w:sz w:val="20"/>
                <w:szCs w:val="20"/>
              </w:rPr>
            </w:pPr>
            <w:r w:rsidRPr="00150FB3">
              <w:rPr>
                <w:b/>
                <w:sz w:val="20"/>
                <w:szCs w:val="20"/>
              </w:rPr>
              <w:t>[AF]</w:t>
            </w:r>
          </w:p>
        </w:tc>
        <w:tc>
          <w:tcPr>
            <w:tcW w:w="1096" w:type="dxa"/>
            <w:shd w:val="clear" w:color="auto" w:fill="C2D69B" w:themeFill="accent3" w:themeFillTint="99"/>
            <w:vAlign w:val="bottom"/>
          </w:tcPr>
          <w:p w14:paraId="087B7605" w14:textId="77777777" w:rsidR="008D1EC3" w:rsidRDefault="008D1EC3" w:rsidP="00A7592C">
            <w:pPr>
              <w:jc w:val="center"/>
              <w:rPr>
                <w:b/>
                <w:sz w:val="20"/>
                <w:szCs w:val="20"/>
              </w:rPr>
            </w:pPr>
            <w:r w:rsidRPr="00150FB3">
              <w:rPr>
                <w:b/>
                <w:sz w:val="20"/>
                <w:szCs w:val="20"/>
              </w:rPr>
              <w:t>Shortage Reduction Credits at Grand Island</w:t>
            </w:r>
          </w:p>
          <w:p w14:paraId="036B4741" w14:textId="77777777" w:rsidR="008D1EC3" w:rsidRPr="00150FB3" w:rsidRDefault="008D1EC3" w:rsidP="00A7592C">
            <w:pPr>
              <w:jc w:val="center"/>
              <w:rPr>
                <w:b/>
                <w:sz w:val="20"/>
                <w:szCs w:val="20"/>
              </w:rPr>
            </w:pPr>
            <w:r>
              <w:rPr>
                <w:b/>
                <w:sz w:val="20"/>
                <w:szCs w:val="20"/>
              </w:rPr>
              <w:t>[AF]</w:t>
            </w:r>
          </w:p>
        </w:tc>
      </w:tr>
      <w:tr w:rsidR="000F1CA7" w14:paraId="76358697" w14:textId="77777777" w:rsidTr="00092FE1">
        <w:tc>
          <w:tcPr>
            <w:tcW w:w="3015" w:type="dxa"/>
            <w:vAlign w:val="center"/>
          </w:tcPr>
          <w:p w14:paraId="2535526A" w14:textId="3B428754" w:rsidR="000F1CA7" w:rsidRPr="00150FB3" w:rsidRDefault="000F1CA7" w:rsidP="00A7592C">
            <w:pPr>
              <w:rPr>
                <w:sz w:val="20"/>
                <w:szCs w:val="20"/>
              </w:rPr>
            </w:pPr>
            <w:r>
              <w:rPr>
                <w:sz w:val="20"/>
                <w:szCs w:val="20"/>
              </w:rPr>
              <w:t>Lake McConaughy Storable Natural Inflows (SNI)</w:t>
            </w:r>
          </w:p>
        </w:tc>
        <w:tc>
          <w:tcPr>
            <w:tcW w:w="838" w:type="dxa"/>
            <w:vAlign w:val="center"/>
          </w:tcPr>
          <w:p w14:paraId="09A76EE6" w14:textId="2DF8800B" w:rsidR="000F1CA7" w:rsidRPr="00150FB3" w:rsidRDefault="000F1CA7" w:rsidP="00A7592C">
            <w:pPr>
              <w:jc w:val="center"/>
              <w:rPr>
                <w:sz w:val="20"/>
                <w:szCs w:val="20"/>
              </w:rPr>
            </w:pPr>
            <w:r>
              <w:rPr>
                <w:sz w:val="20"/>
                <w:szCs w:val="20"/>
              </w:rPr>
              <w:t>State</w:t>
            </w:r>
          </w:p>
        </w:tc>
        <w:tc>
          <w:tcPr>
            <w:tcW w:w="1115" w:type="dxa"/>
            <w:shd w:val="clear" w:color="auto" w:fill="auto"/>
            <w:vAlign w:val="center"/>
          </w:tcPr>
          <w:p w14:paraId="77561E7B" w14:textId="7177C63D" w:rsidR="000F1CA7" w:rsidRPr="00150FB3" w:rsidRDefault="00040408" w:rsidP="00A7592C">
            <w:pPr>
              <w:jc w:val="center"/>
              <w:rPr>
                <w:sz w:val="20"/>
                <w:szCs w:val="20"/>
              </w:rPr>
            </w:pPr>
            <w:r>
              <w:rPr>
                <w:sz w:val="20"/>
                <w:szCs w:val="20"/>
              </w:rPr>
              <w:t>N/A</w:t>
            </w:r>
          </w:p>
        </w:tc>
        <w:tc>
          <w:tcPr>
            <w:tcW w:w="1023" w:type="dxa"/>
            <w:vAlign w:val="center"/>
          </w:tcPr>
          <w:p w14:paraId="3DDC45FA" w14:textId="1C41E2A4" w:rsidR="000F1CA7" w:rsidRPr="00150FB3" w:rsidRDefault="000F1CA7" w:rsidP="00A7592C">
            <w:pPr>
              <w:jc w:val="center"/>
              <w:rPr>
                <w:sz w:val="20"/>
                <w:szCs w:val="20"/>
              </w:rPr>
            </w:pPr>
            <w:r>
              <w:rPr>
                <w:sz w:val="20"/>
                <w:szCs w:val="20"/>
              </w:rPr>
              <w:t>47,198</w:t>
            </w:r>
          </w:p>
        </w:tc>
        <w:tc>
          <w:tcPr>
            <w:tcW w:w="1123" w:type="dxa"/>
            <w:vMerge w:val="restart"/>
            <w:vAlign w:val="center"/>
          </w:tcPr>
          <w:p w14:paraId="467553DF" w14:textId="34956D49" w:rsidR="000F1CA7" w:rsidRPr="00150FB3" w:rsidRDefault="000F1CA7" w:rsidP="00A7592C">
            <w:pPr>
              <w:jc w:val="center"/>
              <w:rPr>
                <w:sz w:val="20"/>
                <w:szCs w:val="20"/>
              </w:rPr>
            </w:pPr>
            <w:r>
              <w:rPr>
                <w:sz w:val="20"/>
                <w:szCs w:val="20"/>
              </w:rPr>
              <w:t>89,332</w:t>
            </w:r>
          </w:p>
        </w:tc>
        <w:tc>
          <w:tcPr>
            <w:tcW w:w="1140" w:type="dxa"/>
            <w:vMerge w:val="restart"/>
            <w:vAlign w:val="center"/>
          </w:tcPr>
          <w:p w14:paraId="1E1F79DD" w14:textId="25369B0C" w:rsidR="000F1CA7" w:rsidRPr="00150FB3" w:rsidRDefault="000F1CA7" w:rsidP="00A7592C">
            <w:pPr>
              <w:jc w:val="center"/>
              <w:rPr>
                <w:sz w:val="20"/>
                <w:szCs w:val="20"/>
              </w:rPr>
            </w:pPr>
            <w:r>
              <w:rPr>
                <w:sz w:val="20"/>
                <w:szCs w:val="20"/>
              </w:rPr>
              <w:t>74,600</w:t>
            </w:r>
          </w:p>
        </w:tc>
        <w:tc>
          <w:tcPr>
            <w:tcW w:w="1096" w:type="dxa"/>
            <w:vMerge w:val="restart"/>
            <w:vAlign w:val="center"/>
          </w:tcPr>
          <w:p w14:paraId="3892E3AF" w14:textId="3F96134F" w:rsidR="000F1CA7" w:rsidRPr="00150FB3" w:rsidRDefault="000F1CA7" w:rsidP="00A7592C">
            <w:pPr>
              <w:jc w:val="center"/>
              <w:rPr>
                <w:sz w:val="20"/>
                <w:szCs w:val="20"/>
              </w:rPr>
            </w:pPr>
            <w:r>
              <w:rPr>
                <w:sz w:val="20"/>
                <w:szCs w:val="20"/>
              </w:rPr>
              <w:t>73,300</w:t>
            </w:r>
          </w:p>
        </w:tc>
      </w:tr>
      <w:tr w:rsidR="000F1CA7" w14:paraId="50537C76" w14:textId="77777777" w:rsidTr="000F1CA7">
        <w:tc>
          <w:tcPr>
            <w:tcW w:w="3015" w:type="dxa"/>
            <w:vAlign w:val="center"/>
          </w:tcPr>
          <w:p w14:paraId="7E793CC6" w14:textId="7AFBBF33" w:rsidR="000F1CA7" w:rsidRPr="00150FB3" w:rsidRDefault="000F1CA7" w:rsidP="00A7592C">
            <w:pPr>
              <w:rPr>
                <w:sz w:val="20"/>
                <w:szCs w:val="20"/>
              </w:rPr>
            </w:pPr>
            <w:r>
              <w:rPr>
                <w:sz w:val="20"/>
                <w:szCs w:val="20"/>
              </w:rPr>
              <w:t>Pathfinder EA</w:t>
            </w:r>
          </w:p>
        </w:tc>
        <w:tc>
          <w:tcPr>
            <w:tcW w:w="838" w:type="dxa"/>
            <w:vAlign w:val="center"/>
          </w:tcPr>
          <w:p w14:paraId="0C1D63C1" w14:textId="65E00C96" w:rsidR="000F1CA7" w:rsidRPr="00150FB3" w:rsidRDefault="000F1CA7" w:rsidP="00A7592C">
            <w:pPr>
              <w:jc w:val="center"/>
              <w:rPr>
                <w:sz w:val="20"/>
                <w:szCs w:val="20"/>
              </w:rPr>
            </w:pPr>
            <w:r>
              <w:rPr>
                <w:sz w:val="20"/>
                <w:szCs w:val="20"/>
              </w:rPr>
              <w:t>State</w:t>
            </w:r>
          </w:p>
        </w:tc>
        <w:tc>
          <w:tcPr>
            <w:tcW w:w="1115" w:type="dxa"/>
            <w:vAlign w:val="center"/>
          </w:tcPr>
          <w:p w14:paraId="5E88A546" w14:textId="6B36306C" w:rsidR="000F1CA7" w:rsidRPr="00150FB3" w:rsidRDefault="000F1CA7" w:rsidP="00A7592C">
            <w:pPr>
              <w:jc w:val="center"/>
              <w:rPr>
                <w:sz w:val="20"/>
                <w:szCs w:val="20"/>
              </w:rPr>
            </w:pPr>
            <w:r>
              <w:rPr>
                <w:sz w:val="20"/>
                <w:szCs w:val="20"/>
              </w:rPr>
              <w:t>20,469</w:t>
            </w:r>
          </w:p>
        </w:tc>
        <w:tc>
          <w:tcPr>
            <w:tcW w:w="1023" w:type="dxa"/>
            <w:vAlign w:val="center"/>
          </w:tcPr>
          <w:p w14:paraId="3B39572E" w14:textId="32BFC8A9" w:rsidR="000F1CA7" w:rsidRPr="00150FB3" w:rsidRDefault="000F1CA7" w:rsidP="00A7592C">
            <w:pPr>
              <w:jc w:val="center"/>
              <w:rPr>
                <w:sz w:val="20"/>
                <w:szCs w:val="20"/>
              </w:rPr>
            </w:pPr>
            <w:r>
              <w:rPr>
                <w:sz w:val="20"/>
                <w:szCs w:val="20"/>
              </w:rPr>
              <w:t>17,545</w:t>
            </w:r>
          </w:p>
        </w:tc>
        <w:tc>
          <w:tcPr>
            <w:tcW w:w="1123" w:type="dxa"/>
            <w:vMerge/>
            <w:vAlign w:val="center"/>
          </w:tcPr>
          <w:p w14:paraId="21D25701" w14:textId="77777777" w:rsidR="000F1CA7" w:rsidRPr="00150FB3" w:rsidRDefault="000F1CA7" w:rsidP="00A7592C">
            <w:pPr>
              <w:jc w:val="center"/>
              <w:rPr>
                <w:sz w:val="20"/>
                <w:szCs w:val="20"/>
              </w:rPr>
            </w:pPr>
          </w:p>
        </w:tc>
        <w:tc>
          <w:tcPr>
            <w:tcW w:w="1140" w:type="dxa"/>
            <w:vMerge/>
            <w:vAlign w:val="center"/>
          </w:tcPr>
          <w:p w14:paraId="1D608C4B" w14:textId="77777777" w:rsidR="000F1CA7" w:rsidRPr="00150FB3" w:rsidRDefault="000F1CA7" w:rsidP="00A7592C">
            <w:pPr>
              <w:jc w:val="center"/>
              <w:rPr>
                <w:sz w:val="20"/>
                <w:szCs w:val="20"/>
              </w:rPr>
            </w:pPr>
          </w:p>
        </w:tc>
        <w:tc>
          <w:tcPr>
            <w:tcW w:w="1096" w:type="dxa"/>
            <w:vMerge/>
            <w:vAlign w:val="center"/>
          </w:tcPr>
          <w:p w14:paraId="1BF2E54D" w14:textId="77777777" w:rsidR="000F1CA7" w:rsidRPr="00150FB3" w:rsidRDefault="000F1CA7" w:rsidP="00A7592C">
            <w:pPr>
              <w:jc w:val="center"/>
              <w:rPr>
                <w:sz w:val="20"/>
                <w:szCs w:val="20"/>
              </w:rPr>
            </w:pPr>
          </w:p>
        </w:tc>
      </w:tr>
      <w:tr w:rsidR="000F1CA7" w14:paraId="6B6A293D" w14:textId="77777777" w:rsidTr="00092FE1">
        <w:tc>
          <w:tcPr>
            <w:tcW w:w="3015" w:type="dxa"/>
            <w:vAlign w:val="center"/>
          </w:tcPr>
          <w:p w14:paraId="2DDA8B44" w14:textId="56B7D2B9" w:rsidR="000F1CA7" w:rsidRPr="00150FB3" w:rsidRDefault="000F1CA7" w:rsidP="00A7592C">
            <w:pPr>
              <w:rPr>
                <w:sz w:val="20"/>
                <w:szCs w:val="20"/>
              </w:rPr>
            </w:pPr>
            <w:r>
              <w:rPr>
                <w:sz w:val="20"/>
                <w:szCs w:val="20"/>
              </w:rPr>
              <w:t>No-Cost NCCW</w:t>
            </w:r>
          </w:p>
        </w:tc>
        <w:tc>
          <w:tcPr>
            <w:tcW w:w="838" w:type="dxa"/>
            <w:vAlign w:val="center"/>
          </w:tcPr>
          <w:p w14:paraId="341D85B9" w14:textId="09497044" w:rsidR="000F1CA7" w:rsidRPr="00150FB3" w:rsidRDefault="000F1CA7" w:rsidP="00A7592C">
            <w:pPr>
              <w:jc w:val="center"/>
              <w:rPr>
                <w:sz w:val="20"/>
                <w:szCs w:val="20"/>
              </w:rPr>
            </w:pPr>
            <w:r>
              <w:rPr>
                <w:sz w:val="20"/>
                <w:szCs w:val="20"/>
              </w:rPr>
              <w:t>WAP</w:t>
            </w:r>
          </w:p>
        </w:tc>
        <w:tc>
          <w:tcPr>
            <w:tcW w:w="1115" w:type="dxa"/>
            <w:shd w:val="clear" w:color="auto" w:fill="auto"/>
            <w:vAlign w:val="center"/>
          </w:tcPr>
          <w:p w14:paraId="6B9FD1C3" w14:textId="7893F8AA" w:rsidR="000F1CA7" w:rsidRPr="00150FB3" w:rsidRDefault="00040408" w:rsidP="00A7592C">
            <w:pPr>
              <w:jc w:val="center"/>
              <w:rPr>
                <w:sz w:val="20"/>
                <w:szCs w:val="20"/>
              </w:rPr>
            </w:pPr>
            <w:r>
              <w:rPr>
                <w:sz w:val="20"/>
                <w:szCs w:val="20"/>
              </w:rPr>
              <w:t>N/A</w:t>
            </w:r>
          </w:p>
        </w:tc>
        <w:tc>
          <w:tcPr>
            <w:tcW w:w="1023" w:type="dxa"/>
            <w:vAlign w:val="center"/>
          </w:tcPr>
          <w:p w14:paraId="6D3F1196" w14:textId="568E03DB" w:rsidR="000F1CA7" w:rsidRPr="00150FB3" w:rsidRDefault="000F1CA7" w:rsidP="00A7592C">
            <w:pPr>
              <w:jc w:val="center"/>
              <w:rPr>
                <w:sz w:val="20"/>
                <w:szCs w:val="20"/>
              </w:rPr>
            </w:pPr>
            <w:r>
              <w:rPr>
                <w:sz w:val="20"/>
                <w:szCs w:val="20"/>
              </w:rPr>
              <w:t>314</w:t>
            </w:r>
          </w:p>
        </w:tc>
        <w:tc>
          <w:tcPr>
            <w:tcW w:w="1123" w:type="dxa"/>
            <w:vMerge/>
            <w:vAlign w:val="center"/>
          </w:tcPr>
          <w:p w14:paraId="27928920" w14:textId="3C39661E" w:rsidR="000F1CA7" w:rsidRPr="00150FB3" w:rsidRDefault="000F1CA7" w:rsidP="00A7592C">
            <w:pPr>
              <w:jc w:val="center"/>
              <w:rPr>
                <w:sz w:val="20"/>
                <w:szCs w:val="20"/>
              </w:rPr>
            </w:pPr>
          </w:p>
        </w:tc>
        <w:tc>
          <w:tcPr>
            <w:tcW w:w="1140" w:type="dxa"/>
            <w:vMerge/>
            <w:vAlign w:val="center"/>
          </w:tcPr>
          <w:p w14:paraId="3BA35E2D" w14:textId="7D2CD6CD" w:rsidR="000F1CA7" w:rsidRPr="00150FB3" w:rsidRDefault="000F1CA7" w:rsidP="00A7592C">
            <w:pPr>
              <w:jc w:val="center"/>
              <w:rPr>
                <w:sz w:val="20"/>
                <w:szCs w:val="20"/>
              </w:rPr>
            </w:pPr>
          </w:p>
        </w:tc>
        <w:tc>
          <w:tcPr>
            <w:tcW w:w="1096" w:type="dxa"/>
            <w:vMerge/>
            <w:vAlign w:val="center"/>
          </w:tcPr>
          <w:p w14:paraId="0560BE1E" w14:textId="0DBBEAD6" w:rsidR="000F1CA7" w:rsidRPr="00150FB3" w:rsidRDefault="000F1CA7" w:rsidP="00A7592C">
            <w:pPr>
              <w:jc w:val="center"/>
              <w:rPr>
                <w:sz w:val="20"/>
                <w:szCs w:val="20"/>
              </w:rPr>
            </w:pPr>
          </w:p>
        </w:tc>
      </w:tr>
      <w:tr w:rsidR="000F1CA7" w14:paraId="1B7BE5A4" w14:textId="77777777" w:rsidTr="000F1CA7">
        <w:tc>
          <w:tcPr>
            <w:tcW w:w="3015" w:type="dxa"/>
            <w:vAlign w:val="center"/>
          </w:tcPr>
          <w:p w14:paraId="62BCE6AB" w14:textId="2C2FCF98" w:rsidR="000F1CA7" w:rsidRPr="00150FB3" w:rsidRDefault="000F1CA7" w:rsidP="00A7592C">
            <w:pPr>
              <w:rPr>
                <w:sz w:val="20"/>
                <w:szCs w:val="20"/>
              </w:rPr>
            </w:pPr>
            <w:r>
              <w:rPr>
                <w:sz w:val="20"/>
                <w:szCs w:val="20"/>
              </w:rPr>
              <w:t>Pathfinder Municipal Account Lease</w:t>
            </w:r>
          </w:p>
        </w:tc>
        <w:tc>
          <w:tcPr>
            <w:tcW w:w="838" w:type="dxa"/>
            <w:vAlign w:val="center"/>
          </w:tcPr>
          <w:p w14:paraId="03EA2257" w14:textId="36AB9C26" w:rsidR="000F1CA7" w:rsidRPr="00150FB3" w:rsidRDefault="000F1CA7" w:rsidP="00A7592C">
            <w:pPr>
              <w:jc w:val="center"/>
              <w:rPr>
                <w:sz w:val="20"/>
                <w:szCs w:val="20"/>
              </w:rPr>
            </w:pPr>
            <w:r>
              <w:rPr>
                <w:sz w:val="20"/>
                <w:szCs w:val="20"/>
              </w:rPr>
              <w:t>WAP</w:t>
            </w:r>
          </w:p>
        </w:tc>
        <w:tc>
          <w:tcPr>
            <w:tcW w:w="1115" w:type="dxa"/>
            <w:vAlign w:val="center"/>
          </w:tcPr>
          <w:p w14:paraId="48340C84" w14:textId="7AF492FB" w:rsidR="000F1CA7" w:rsidRPr="00150FB3" w:rsidRDefault="000F1CA7" w:rsidP="00A7592C">
            <w:pPr>
              <w:jc w:val="center"/>
              <w:rPr>
                <w:sz w:val="20"/>
                <w:szCs w:val="20"/>
              </w:rPr>
            </w:pPr>
            <w:r>
              <w:rPr>
                <w:sz w:val="20"/>
                <w:szCs w:val="20"/>
              </w:rPr>
              <w:t>8,100</w:t>
            </w:r>
          </w:p>
        </w:tc>
        <w:tc>
          <w:tcPr>
            <w:tcW w:w="1023" w:type="dxa"/>
            <w:vAlign w:val="center"/>
          </w:tcPr>
          <w:p w14:paraId="0FD1048A" w14:textId="6BF29811" w:rsidR="000F1CA7" w:rsidRPr="00150FB3" w:rsidRDefault="000F1CA7" w:rsidP="00A7592C">
            <w:pPr>
              <w:jc w:val="center"/>
              <w:rPr>
                <w:sz w:val="20"/>
                <w:szCs w:val="20"/>
              </w:rPr>
            </w:pPr>
            <w:r>
              <w:rPr>
                <w:sz w:val="20"/>
                <w:szCs w:val="20"/>
              </w:rPr>
              <w:t>6,943</w:t>
            </w:r>
          </w:p>
        </w:tc>
        <w:tc>
          <w:tcPr>
            <w:tcW w:w="1123" w:type="dxa"/>
            <w:vMerge/>
            <w:vAlign w:val="center"/>
          </w:tcPr>
          <w:p w14:paraId="60A7DAC7" w14:textId="34037400" w:rsidR="000F1CA7" w:rsidRPr="00150FB3" w:rsidRDefault="000F1CA7" w:rsidP="00A7592C">
            <w:pPr>
              <w:jc w:val="center"/>
              <w:rPr>
                <w:sz w:val="20"/>
                <w:szCs w:val="20"/>
              </w:rPr>
            </w:pPr>
          </w:p>
        </w:tc>
        <w:tc>
          <w:tcPr>
            <w:tcW w:w="1140" w:type="dxa"/>
            <w:vMerge/>
            <w:vAlign w:val="center"/>
          </w:tcPr>
          <w:p w14:paraId="2280EA6C" w14:textId="79B51C16" w:rsidR="000F1CA7" w:rsidRPr="00150FB3" w:rsidRDefault="000F1CA7" w:rsidP="00A7592C">
            <w:pPr>
              <w:jc w:val="center"/>
              <w:rPr>
                <w:sz w:val="20"/>
                <w:szCs w:val="20"/>
              </w:rPr>
            </w:pPr>
          </w:p>
        </w:tc>
        <w:tc>
          <w:tcPr>
            <w:tcW w:w="1096" w:type="dxa"/>
            <w:vMerge/>
            <w:vAlign w:val="center"/>
          </w:tcPr>
          <w:p w14:paraId="46ADFAD0" w14:textId="76FD97CA" w:rsidR="000F1CA7" w:rsidRPr="00150FB3" w:rsidRDefault="000F1CA7" w:rsidP="00A7592C">
            <w:pPr>
              <w:jc w:val="center"/>
              <w:rPr>
                <w:sz w:val="20"/>
                <w:szCs w:val="20"/>
              </w:rPr>
            </w:pPr>
          </w:p>
        </w:tc>
      </w:tr>
      <w:tr w:rsidR="000F1CA7" w14:paraId="747254D7" w14:textId="77777777" w:rsidTr="00092FE1">
        <w:tc>
          <w:tcPr>
            <w:tcW w:w="3015" w:type="dxa"/>
            <w:vAlign w:val="center"/>
          </w:tcPr>
          <w:p w14:paraId="7B258384" w14:textId="69E37BB3" w:rsidR="000F1CA7" w:rsidRPr="00150FB3" w:rsidRDefault="000F1CA7" w:rsidP="00A7592C">
            <w:pPr>
              <w:rPr>
                <w:sz w:val="20"/>
                <w:szCs w:val="20"/>
              </w:rPr>
            </w:pPr>
            <w:r>
              <w:rPr>
                <w:sz w:val="20"/>
                <w:szCs w:val="20"/>
              </w:rPr>
              <w:t>CNPPID Irrigator Lease</w:t>
            </w:r>
          </w:p>
        </w:tc>
        <w:tc>
          <w:tcPr>
            <w:tcW w:w="838" w:type="dxa"/>
            <w:vAlign w:val="center"/>
          </w:tcPr>
          <w:p w14:paraId="69334EF8" w14:textId="12382134" w:rsidR="000F1CA7" w:rsidRPr="00150FB3" w:rsidRDefault="000F1CA7" w:rsidP="00A7592C">
            <w:pPr>
              <w:jc w:val="center"/>
              <w:rPr>
                <w:sz w:val="20"/>
                <w:szCs w:val="20"/>
              </w:rPr>
            </w:pPr>
            <w:r>
              <w:rPr>
                <w:sz w:val="20"/>
                <w:szCs w:val="20"/>
              </w:rPr>
              <w:t>WAP</w:t>
            </w:r>
          </w:p>
        </w:tc>
        <w:tc>
          <w:tcPr>
            <w:tcW w:w="1115" w:type="dxa"/>
            <w:shd w:val="clear" w:color="auto" w:fill="auto"/>
            <w:vAlign w:val="center"/>
          </w:tcPr>
          <w:p w14:paraId="70696F36" w14:textId="5FB799AD" w:rsidR="000F1CA7" w:rsidRPr="00150FB3" w:rsidRDefault="00040408" w:rsidP="00A7592C">
            <w:pPr>
              <w:jc w:val="center"/>
              <w:rPr>
                <w:sz w:val="20"/>
                <w:szCs w:val="20"/>
              </w:rPr>
            </w:pPr>
            <w:r>
              <w:rPr>
                <w:sz w:val="20"/>
                <w:szCs w:val="20"/>
              </w:rPr>
              <w:t>N/A</w:t>
            </w:r>
          </w:p>
        </w:tc>
        <w:tc>
          <w:tcPr>
            <w:tcW w:w="1023" w:type="dxa"/>
            <w:vAlign w:val="center"/>
          </w:tcPr>
          <w:p w14:paraId="17DC52C5" w14:textId="0F0B6906" w:rsidR="000F1CA7" w:rsidRPr="00150FB3" w:rsidRDefault="000F1CA7" w:rsidP="00A7592C">
            <w:pPr>
              <w:jc w:val="center"/>
              <w:rPr>
                <w:sz w:val="20"/>
                <w:szCs w:val="20"/>
              </w:rPr>
            </w:pPr>
            <w:r>
              <w:rPr>
                <w:sz w:val="20"/>
                <w:szCs w:val="20"/>
              </w:rPr>
              <w:t>1,541</w:t>
            </w:r>
          </w:p>
        </w:tc>
        <w:tc>
          <w:tcPr>
            <w:tcW w:w="1123" w:type="dxa"/>
            <w:vMerge/>
            <w:vAlign w:val="center"/>
          </w:tcPr>
          <w:p w14:paraId="7A60159F" w14:textId="5FC2F41D" w:rsidR="000F1CA7" w:rsidRPr="00150FB3" w:rsidRDefault="000F1CA7" w:rsidP="00A7592C">
            <w:pPr>
              <w:jc w:val="center"/>
              <w:rPr>
                <w:sz w:val="20"/>
                <w:szCs w:val="20"/>
              </w:rPr>
            </w:pPr>
          </w:p>
        </w:tc>
        <w:tc>
          <w:tcPr>
            <w:tcW w:w="1140" w:type="dxa"/>
            <w:vMerge/>
            <w:vAlign w:val="center"/>
          </w:tcPr>
          <w:p w14:paraId="532A6E98" w14:textId="5AF763F7" w:rsidR="000F1CA7" w:rsidRPr="00150FB3" w:rsidRDefault="000F1CA7" w:rsidP="00A7592C">
            <w:pPr>
              <w:jc w:val="center"/>
              <w:rPr>
                <w:sz w:val="20"/>
                <w:szCs w:val="20"/>
              </w:rPr>
            </w:pPr>
          </w:p>
        </w:tc>
        <w:tc>
          <w:tcPr>
            <w:tcW w:w="1096" w:type="dxa"/>
            <w:vMerge/>
            <w:vAlign w:val="center"/>
          </w:tcPr>
          <w:p w14:paraId="1DE1A48C" w14:textId="37A89F63" w:rsidR="000F1CA7" w:rsidRPr="00150FB3" w:rsidRDefault="000F1CA7" w:rsidP="00A7592C">
            <w:pPr>
              <w:jc w:val="center"/>
              <w:rPr>
                <w:sz w:val="20"/>
                <w:szCs w:val="20"/>
              </w:rPr>
            </w:pPr>
          </w:p>
        </w:tc>
      </w:tr>
      <w:tr w:rsidR="000F1CA7" w14:paraId="028430BE" w14:textId="77777777" w:rsidTr="00092FE1">
        <w:tc>
          <w:tcPr>
            <w:tcW w:w="3015" w:type="dxa"/>
            <w:vAlign w:val="center"/>
          </w:tcPr>
          <w:p w14:paraId="503FEAE9" w14:textId="07D383F2" w:rsidR="000F1CA7" w:rsidRPr="00150FB3" w:rsidRDefault="000F1CA7" w:rsidP="00A7592C">
            <w:pPr>
              <w:rPr>
                <w:sz w:val="20"/>
                <w:szCs w:val="20"/>
              </w:rPr>
            </w:pPr>
            <w:r>
              <w:rPr>
                <w:sz w:val="20"/>
                <w:szCs w:val="20"/>
              </w:rPr>
              <w:t>CPNRD Pilot Exchange Project</w:t>
            </w:r>
          </w:p>
        </w:tc>
        <w:tc>
          <w:tcPr>
            <w:tcW w:w="838" w:type="dxa"/>
            <w:vAlign w:val="center"/>
          </w:tcPr>
          <w:p w14:paraId="3F23C9B5" w14:textId="69BEFF68" w:rsidR="000F1CA7" w:rsidRDefault="000F1CA7" w:rsidP="00A7592C">
            <w:pPr>
              <w:jc w:val="center"/>
              <w:rPr>
                <w:sz w:val="20"/>
                <w:szCs w:val="20"/>
              </w:rPr>
            </w:pPr>
            <w:r>
              <w:rPr>
                <w:sz w:val="20"/>
                <w:szCs w:val="20"/>
              </w:rPr>
              <w:t>WAP</w:t>
            </w:r>
          </w:p>
        </w:tc>
        <w:tc>
          <w:tcPr>
            <w:tcW w:w="1115" w:type="dxa"/>
            <w:shd w:val="clear" w:color="auto" w:fill="auto"/>
            <w:vAlign w:val="center"/>
          </w:tcPr>
          <w:p w14:paraId="5AFDEF28" w14:textId="218F6EDF" w:rsidR="000F1CA7" w:rsidRDefault="00040408" w:rsidP="00A7592C">
            <w:pPr>
              <w:jc w:val="center"/>
              <w:rPr>
                <w:sz w:val="20"/>
                <w:szCs w:val="20"/>
              </w:rPr>
            </w:pPr>
            <w:r>
              <w:rPr>
                <w:sz w:val="20"/>
                <w:szCs w:val="20"/>
              </w:rPr>
              <w:t>N/A</w:t>
            </w:r>
          </w:p>
        </w:tc>
        <w:tc>
          <w:tcPr>
            <w:tcW w:w="1023" w:type="dxa"/>
            <w:vAlign w:val="center"/>
          </w:tcPr>
          <w:p w14:paraId="5ACCB988" w14:textId="3AB73901" w:rsidR="000F1CA7" w:rsidRDefault="000F1CA7" w:rsidP="00A7592C">
            <w:pPr>
              <w:jc w:val="center"/>
              <w:rPr>
                <w:sz w:val="20"/>
                <w:szCs w:val="20"/>
              </w:rPr>
            </w:pPr>
            <w:r>
              <w:rPr>
                <w:sz w:val="20"/>
                <w:szCs w:val="20"/>
              </w:rPr>
              <w:t>14,251</w:t>
            </w:r>
          </w:p>
        </w:tc>
        <w:tc>
          <w:tcPr>
            <w:tcW w:w="1123" w:type="dxa"/>
            <w:vMerge/>
            <w:vAlign w:val="center"/>
          </w:tcPr>
          <w:p w14:paraId="7AF674BD" w14:textId="77777777" w:rsidR="000F1CA7" w:rsidRDefault="000F1CA7" w:rsidP="00A7592C">
            <w:pPr>
              <w:jc w:val="center"/>
              <w:rPr>
                <w:sz w:val="20"/>
                <w:szCs w:val="20"/>
              </w:rPr>
            </w:pPr>
          </w:p>
        </w:tc>
        <w:tc>
          <w:tcPr>
            <w:tcW w:w="1140" w:type="dxa"/>
            <w:vMerge/>
            <w:vAlign w:val="center"/>
          </w:tcPr>
          <w:p w14:paraId="5BE96ACC" w14:textId="77777777" w:rsidR="000F1CA7" w:rsidRDefault="000F1CA7" w:rsidP="00A7592C">
            <w:pPr>
              <w:jc w:val="center"/>
              <w:rPr>
                <w:sz w:val="20"/>
                <w:szCs w:val="20"/>
              </w:rPr>
            </w:pPr>
          </w:p>
        </w:tc>
        <w:tc>
          <w:tcPr>
            <w:tcW w:w="1096" w:type="dxa"/>
            <w:vMerge/>
            <w:vAlign w:val="center"/>
          </w:tcPr>
          <w:p w14:paraId="24B302EE" w14:textId="77777777" w:rsidR="000F1CA7" w:rsidRDefault="000F1CA7" w:rsidP="00A7592C">
            <w:pPr>
              <w:jc w:val="center"/>
              <w:rPr>
                <w:sz w:val="20"/>
                <w:szCs w:val="20"/>
              </w:rPr>
            </w:pPr>
          </w:p>
        </w:tc>
      </w:tr>
    </w:tbl>
    <w:p w14:paraId="4506FBC1" w14:textId="5ED01816" w:rsidR="00331C5F" w:rsidRDefault="00331C5F" w:rsidP="00D16D59">
      <w:r>
        <w:lastRenderedPageBreak/>
        <w:t xml:space="preserve">To the extent </w:t>
      </w:r>
      <w:r w:rsidR="00605A3F">
        <w:t>that the EDO was able to complete the full calculations</w:t>
      </w:r>
      <w:r>
        <w:t xml:space="preserve">, the comprehensive accounting of Program water projects includes estimates of average annual credits for shortage reduction at Grand Island.  Where the comparison </w:t>
      </w:r>
      <w:r w:rsidR="00605A3F">
        <w:t>can be made</w:t>
      </w:r>
      <w:r>
        <w:t xml:space="preserve">, these operational yields are compared to </w:t>
      </w:r>
      <w:r w:rsidR="00605A3F">
        <w:t xml:space="preserve">approved or recommended </w:t>
      </w:r>
      <w:r>
        <w:t>project scores; in general</w:t>
      </w:r>
      <w:r w:rsidR="001A08AF">
        <w:t>,</w:t>
      </w:r>
      <w:r>
        <w:t xml:space="preserve"> the operational yields are less than scores at this point in the Program’s First Increment</w:t>
      </w:r>
      <w:r w:rsidR="001A08AF">
        <w:t>.  The EDO identified two key reasons for the differences:</w:t>
      </w:r>
    </w:p>
    <w:p w14:paraId="5668D42F" w14:textId="0EA0FEF2" w:rsidR="001A08AF" w:rsidRDefault="001A08AF" w:rsidP="00D16D59"/>
    <w:p w14:paraId="22614DAA" w14:textId="77777777" w:rsidR="009D342B" w:rsidRDefault="001A08AF" w:rsidP="001A08AF">
      <w:pPr>
        <w:pStyle w:val="ListParagraph"/>
        <w:numPr>
          <w:ilvl w:val="0"/>
          <w:numId w:val="13"/>
        </w:numPr>
      </w:pPr>
      <w:r>
        <w:t xml:space="preserve">Time.  </w:t>
      </w:r>
    </w:p>
    <w:p w14:paraId="6BA1094B" w14:textId="0AD11FC1" w:rsidR="009D342B" w:rsidRDefault="001A08AF" w:rsidP="009D342B">
      <w:pPr>
        <w:pStyle w:val="ListParagraph"/>
        <w:numPr>
          <w:ilvl w:val="1"/>
          <w:numId w:val="13"/>
        </w:numPr>
      </w:pPr>
      <w:r>
        <w:t>Project scores are based on simulated operations averaged over 48 years.  At most, projects that were operational from the start of the First Increment have only 12 years of data to evaluate, and most WAP projects have even less.</w:t>
      </w:r>
      <w:r w:rsidR="00A1491E">
        <w:t xml:space="preserve">  Consequently, it is not yet feasible to draw any conclusions about the long-term performance of Program water projects.</w:t>
      </w:r>
      <w:r>
        <w:t xml:space="preserve">  </w:t>
      </w:r>
    </w:p>
    <w:p w14:paraId="516144A8" w14:textId="7BF5913D" w:rsidR="001A08AF" w:rsidRDefault="009D342B" w:rsidP="006713C7">
      <w:pPr>
        <w:pStyle w:val="ListParagraph"/>
        <w:numPr>
          <w:ilvl w:val="1"/>
          <w:numId w:val="13"/>
        </w:numPr>
      </w:pPr>
      <w:r>
        <w:t xml:space="preserve">In addition, the nature of groundwater recharge projects is such that </w:t>
      </w:r>
      <w:r w:rsidR="00170154">
        <w:t>accretions</w:t>
      </w:r>
      <w:r>
        <w:t xml:space="preserve"> lag behind the time of diversion and recharge by months to years</w:t>
      </w:r>
      <w:r w:rsidR="00207E16">
        <w:t>.  I</w:t>
      </w:r>
      <w:r>
        <w:t>t may take decades for all water recharged in a given year to return to the Platte River</w:t>
      </w:r>
      <w:r w:rsidR="00207E16">
        <w:t>, but these accretions will provide the long-term benefit of increased river baseflows</w:t>
      </w:r>
      <w:r>
        <w:t xml:space="preserve">.  </w:t>
      </w:r>
      <w:r w:rsidR="00AD65EE">
        <w:t>WAP</w:t>
      </w:r>
      <w:r>
        <w:t xml:space="preserve"> recharge projects have operations histories ranging from 4 years (Elwood Reservoir, NPPD canals) to 8 years (Phelps County Canal).  Accretions from these projects are still on an upward trajectory that will continue for many years before leveling off at a sort of steady state, assuming consistent operations well beyond the end of the Program’s First Increment.  Elwood Reservoir</w:t>
      </w:r>
      <w:r w:rsidR="00207E16">
        <w:t>, located about 8 miles from the Platte River, is the most extreme example, with accretions that are increasing each year but totaling less than 10 percent of recharge diversions through the early years of operations.</w:t>
      </w:r>
      <w:r>
        <w:t xml:space="preserve"> </w:t>
      </w:r>
    </w:p>
    <w:p w14:paraId="636662B9" w14:textId="70E2BDEF" w:rsidR="009D342B" w:rsidRDefault="009D342B" w:rsidP="009D342B"/>
    <w:p w14:paraId="459D687E" w14:textId="036265B6" w:rsidR="009D342B" w:rsidRDefault="009D342B" w:rsidP="009D342B">
      <w:pPr>
        <w:pStyle w:val="ListParagraph"/>
        <w:numPr>
          <w:ilvl w:val="0"/>
          <w:numId w:val="13"/>
        </w:numPr>
      </w:pPr>
      <w:r>
        <w:t>Reduced availability of excess flows.</w:t>
      </w:r>
      <w:r w:rsidR="006713C7">
        <w:t xml:space="preserve">  In a white paper developed by the EDO in 2016, it was shown that there was less availability of divertible excess flows through the first 9 years of the First Increment (2007-2015) than during the historical period corresponding to the OPSTUDY hydrology used for WAP project scoring (1947-1994).  The differences were most significant in the months of January through May, all of which had First Increment average monthly excess flows well below the historical averages (ranging from 125 cfs to 426 cfs less).  Reduced excess flows in January and February affect the Phelps and Elwood recharge projects.  Reduced availability in January through March affects the Tamarack I project in Colorado, </w:t>
      </w:r>
      <w:r w:rsidR="00AB705F">
        <w:t>and reductions in April and May have</w:t>
      </w:r>
      <w:r w:rsidR="00CD404D">
        <w:t xml:space="preserve"> resulted in</w:t>
      </w:r>
      <w:r w:rsidR="00AB705F">
        <w:t xml:space="preserve"> limited spring recharge diversions into the CPNRD and NPPD canals.</w:t>
      </w:r>
      <w:r w:rsidR="009F1E99">
        <w:t xml:space="preserve">  </w:t>
      </w:r>
    </w:p>
    <w:p w14:paraId="09654A47" w14:textId="471954DF" w:rsidR="009F1E99" w:rsidRDefault="009F1E99" w:rsidP="009F1E99"/>
    <w:p w14:paraId="31D9B8AB" w14:textId="1559F423" w:rsidR="009F1E99" w:rsidRDefault="009F1E99" w:rsidP="009F1E99">
      <w:r>
        <w:t xml:space="preserve">An investigation of the specific causes of reduced excess flow availability is beyond the scope of this accounting memo, but the EDO intends to pursue such an effort separately, as well as expanding the </w:t>
      </w:r>
      <w:r w:rsidR="00486605">
        <w:t>excess flows white paper to include the more recent years and an evaluation of the effects of annual hydrologic condition (used for project scoring) versus real-time hydrologic condition (used for operations and accounting).</w:t>
      </w:r>
    </w:p>
    <w:p w14:paraId="36F79DC2" w14:textId="546BFA69" w:rsidR="00486605" w:rsidRDefault="00486605" w:rsidP="009F1E99"/>
    <w:p w14:paraId="3FB4E320" w14:textId="77777777" w:rsidR="00EB23E0" w:rsidRPr="00170C89" w:rsidRDefault="00EB23E0" w:rsidP="00170C89">
      <w:pPr>
        <w:rPr>
          <w:b/>
        </w:rPr>
      </w:pPr>
    </w:p>
    <w:p w14:paraId="12A1A8A9" w14:textId="77777777" w:rsidR="002F6DAD" w:rsidRDefault="002F6DAD">
      <w:pPr>
        <w:rPr>
          <w:b/>
        </w:rPr>
      </w:pPr>
      <w:r>
        <w:rPr>
          <w:b/>
        </w:rPr>
        <w:br w:type="page"/>
      </w:r>
    </w:p>
    <w:p w14:paraId="45CD3558" w14:textId="4EA7B398" w:rsidR="00291C36" w:rsidRDefault="004E0658" w:rsidP="00B9798C">
      <w:pPr>
        <w:pStyle w:val="ListParagraph"/>
        <w:numPr>
          <w:ilvl w:val="0"/>
          <w:numId w:val="1"/>
        </w:numPr>
        <w:rPr>
          <w:b/>
        </w:rPr>
      </w:pPr>
      <w:r>
        <w:rPr>
          <w:b/>
        </w:rPr>
        <w:lastRenderedPageBreak/>
        <w:t>INTRODUCTION</w:t>
      </w:r>
    </w:p>
    <w:p w14:paraId="49E7AB16" w14:textId="36368971" w:rsidR="00420E9D" w:rsidRDefault="00DE7668" w:rsidP="00AB501B">
      <w:pPr>
        <w:pStyle w:val="ListParagraph"/>
        <w:spacing w:before="120" w:after="240"/>
        <w:ind w:left="0"/>
      </w:pPr>
      <w:r>
        <w:t xml:space="preserve">The Platte River Recovery Implementation Program (PRRIP or Program) </w:t>
      </w:r>
      <w:r w:rsidR="006A32C8">
        <w:t>is a coop</w:t>
      </w:r>
      <w:r w:rsidR="005930EE">
        <w:t xml:space="preserve">erative effort between the U.S. Department of </w:t>
      </w:r>
      <w:r w:rsidR="00DF04F0">
        <w:t xml:space="preserve">the </w:t>
      </w:r>
      <w:r w:rsidR="005930EE">
        <w:t>Interior and the states of Colorado, Nebraska, and Wyoming to improve streamflow and habitat conditions</w:t>
      </w:r>
      <w:r w:rsidR="00B76952">
        <w:t xml:space="preserve"> in a critical reach of the </w:t>
      </w:r>
      <w:r w:rsidR="0040289F">
        <w:t>central Platte River</w:t>
      </w:r>
      <w:r w:rsidR="005930EE">
        <w:t xml:space="preserve"> for</w:t>
      </w:r>
      <w:r w:rsidR="0040289F">
        <w:t xml:space="preserve"> the benefit of</w:t>
      </w:r>
      <w:r w:rsidR="005930EE">
        <w:t xml:space="preserve"> threatened and endangered species, including the whooping crane, piping plover, interior least tern, and pallid sturgeon.  The Program </w:t>
      </w:r>
      <w:r>
        <w:t xml:space="preserve">provides Endangered Species Act (ESA) compliance for water users within the Platte River basin </w:t>
      </w:r>
      <w:r w:rsidR="00916D0B">
        <w:t>upstream of the Loup River confluence including the</w:t>
      </w:r>
      <w:r>
        <w:t xml:space="preserve"> North Platte River, South Platte River, Platte River</w:t>
      </w:r>
      <w:r w:rsidR="003F238B">
        <w:t>,</w:t>
      </w:r>
      <w:r>
        <w:t xml:space="preserve"> and </w:t>
      </w:r>
      <w:r w:rsidR="00871766">
        <w:t xml:space="preserve">tributaries.  </w:t>
      </w:r>
    </w:p>
    <w:p w14:paraId="712CBCCA" w14:textId="625D238B" w:rsidR="00420E9D" w:rsidRDefault="00871766" w:rsidP="00AB501B">
      <w:pPr>
        <w:pStyle w:val="ListParagraph"/>
        <w:spacing w:before="120" w:after="240"/>
        <w:ind w:left="0"/>
      </w:pPr>
      <w:r>
        <w:t>The Program’s First Increment</w:t>
      </w:r>
      <w:r>
        <w:rPr>
          <w:rStyle w:val="FootnoteReference"/>
        </w:rPr>
        <w:footnoteReference w:id="3"/>
      </w:r>
      <w:r>
        <w:t xml:space="preserve"> Water Objective</w:t>
      </w:r>
      <w:r w:rsidR="005E1E00">
        <w:t xml:space="preserve"> is to reduce deficits to U.S. Fish and Wildlife Service (USFWS) target flows</w:t>
      </w:r>
      <w:r w:rsidR="00D160D7">
        <w:rPr>
          <w:rStyle w:val="FootnoteReference"/>
          <w:szCs w:val="24"/>
        </w:rPr>
        <w:footnoteReference w:id="4"/>
      </w:r>
      <w:r w:rsidR="005E1E00">
        <w:t xml:space="preserve"> by an average of 130,000 acre-feet per year (AFY) to 150,000 AFY, as measured at Grand Island, Nebraska.</w:t>
      </w:r>
      <w:r w:rsidR="00420E9D">
        <w:t xml:space="preserve">  Three initial state </w:t>
      </w:r>
      <w:r w:rsidR="00DF6A0D">
        <w:t xml:space="preserve">water </w:t>
      </w:r>
      <w:r w:rsidR="00420E9D">
        <w:t>projects—</w:t>
      </w:r>
      <w:r w:rsidR="001D07D7">
        <w:t xml:space="preserve">Wyoming’s </w:t>
      </w:r>
      <w:r w:rsidR="00420E9D">
        <w:t xml:space="preserve">Pathfinder </w:t>
      </w:r>
      <w:r w:rsidR="00AA2379">
        <w:t>Environmental Account</w:t>
      </w:r>
      <w:r w:rsidR="001D07D7">
        <w:t xml:space="preserve"> (EA)</w:t>
      </w:r>
      <w:r w:rsidR="00DF15A3">
        <w:rPr>
          <w:rStyle w:val="FootnoteReference"/>
        </w:rPr>
        <w:footnoteReference w:id="5"/>
      </w:r>
      <w:r w:rsidR="00420E9D">
        <w:t xml:space="preserve">, </w:t>
      </w:r>
      <w:r w:rsidR="001D07D7">
        <w:t xml:space="preserve">Nebraska’s </w:t>
      </w:r>
      <w:r w:rsidR="00420E9D">
        <w:t xml:space="preserve">Lake McConaughy EA, and </w:t>
      </w:r>
      <w:r w:rsidR="001D07D7">
        <w:t xml:space="preserve">Colorado’s </w:t>
      </w:r>
      <w:r w:rsidR="00420E9D">
        <w:t xml:space="preserve">Tamarack I groundwater recharge project—are credited with providing 80,000 AFY towards the First Increment Water Objective.  Per Program Milestone </w:t>
      </w:r>
      <w:r w:rsidR="00A9616C">
        <w:t>#</w:t>
      </w:r>
      <w:r w:rsidR="00420E9D">
        <w:t>4, the remaining 50,000 AFY to 70,000 AFY is to be developed through implementation of the Water Action Plan</w:t>
      </w:r>
      <w:r w:rsidR="00143E7D">
        <w:t xml:space="preserve"> (WAP)</w:t>
      </w:r>
      <w:r w:rsidR="00420E9D">
        <w:t>.</w:t>
      </w:r>
    </w:p>
    <w:p w14:paraId="3FC410D4" w14:textId="628C96DE" w:rsidR="00766FFF" w:rsidRDefault="00766FFF" w:rsidP="00766FFF">
      <w:pPr>
        <w:pStyle w:val="ListParagraph"/>
        <w:spacing w:before="120" w:after="240"/>
        <w:ind w:left="0"/>
        <w:rPr>
          <w:szCs w:val="24"/>
        </w:rPr>
      </w:pPr>
      <w:r>
        <w:rPr>
          <w:szCs w:val="24"/>
        </w:rPr>
        <w:t xml:space="preserve">Program </w:t>
      </w:r>
      <w:r w:rsidR="00F5117B">
        <w:rPr>
          <w:szCs w:val="24"/>
        </w:rPr>
        <w:t xml:space="preserve">WAP </w:t>
      </w:r>
      <w:r>
        <w:rPr>
          <w:szCs w:val="24"/>
        </w:rPr>
        <w:t>projects rely on two major sources of water:</w:t>
      </w:r>
    </w:p>
    <w:p w14:paraId="5FC65F91" w14:textId="434C54C7" w:rsidR="00766FFF" w:rsidRDefault="00766FFF" w:rsidP="00B9798C">
      <w:pPr>
        <w:pStyle w:val="ListParagraph"/>
        <w:numPr>
          <w:ilvl w:val="0"/>
          <w:numId w:val="5"/>
        </w:numPr>
        <w:spacing w:before="120" w:after="240"/>
        <w:rPr>
          <w:szCs w:val="24"/>
        </w:rPr>
      </w:pPr>
      <w:r>
        <w:rPr>
          <w:szCs w:val="24"/>
        </w:rPr>
        <w:t>Diversion</w:t>
      </w:r>
      <w:r w:rsidR="0073227C">
        <w:rPr>
          <w:szCs w:val="24"/>
        </w:rPr>
        <w:t>s</w:t>
      </w:r>
      <w:r>
        <w:rPr>
          <w:szCs w:val="24"/>
        </w:rPr>
        <w:t xml:space="preserve"> of Platte River streamflows in excess of USFWS targets (excess flows), for intentional groundwater recharge through existing canals and reservoirs.</w:t>
      </w:r>
    </w:p>
    <w:p w14:paraId="584D339D" w14:textId="77777777" w:rsidR="00766FFF" w:rsidRDefault="00766FFF" w:rsidP="00B9798C">
      <w:pPr>
        <w:pStyle w:val="ListParagraph"/>
        <w:numPr>
          <w:ilvl w:val="0"/>
          <w:numId w:val="5"/>
        </w:numPr>
        <w:spacing w:before="120" w:after="240"/>
        <w:rPr>
          <w:szCs w:val="24"/>
        </w:rPr>
      </w:pPr>
      <w:r>
        <w:rPr>
          <w:szCs w:val="24"/>
        </w:rPr>
        <w:t>Leasing or otherwise directly acquiring water supplies from other users in the Platte River basin.</w:t>
      </w:r>
    </w:p>
    <w:p w14:paraId="7972AF82" w14:textId="64A2FD21" w:rsidR="00766FFF" w:rsidRDefault="00766FFF" w:rsidP="00AB501B">
      <w:pPr>
        <w:pStyle w:val="ListParagraph"/>
        <w:spacing w:before="120" w:after="240"/>
        <w:ind w:left="0"/>
      </w:pPr>
      <w:r w:rsidRPr="001D46DC">
        <w:rPr>
          <w:b/>
        </w:rPr>
        <w:t>Table 1</w:t>
      </w:r>
      <w:r>
        <w:t xml:space="preserve"> identifies c</w:t>
      </w:r>
      <w:r w:rsidR="009A2567">
        <w:t xml:space="preserve">urrent Program water projects and the initial </w:t>
      </w:r>
      <w:r w:rsidR="00B60D63">
        <w:t xml:space="preserve">year of </w:t>
      </w:r>
      <w:r w:rsidR="009A2567">
        <w:t>operation.  If the project was already operational before the start of the First Increment, 2007 is recognized as the first year</w:t>
      </w:r>
      <w:r w:rsidR="00F5117B">
        <w:t xml:space="preserve"> of operation</w:t>
      </w:r>
      <w:r w:rsidR="009A2567">
        <w:t xml:space="preserve"> for Program purposes.</w:t>
      </w:r>
    </w:p>
    <w:p w14:paraId="046511E2" w14:textId="77777777" w:rsidR="0073227C" w:rsidRDefault="0073227C" w:rsidP="00DF15A3">
      <w:pPr>
        <w:pStyle w:val="ListParagraph"/>
        <w:spacing w:before="120"/>
        <w:ind w:left="0"/>
        <w:rPr>
          <w:b/>
        </w:rPr>
      </w:pPr>
    </w:p>
    <w:p w14:paraId="248C44AA" w14:textId="77777777" w:rsidR="0073227C" w:rsidRDefault="0073227C" w:rsidP="00DF15A3">
      <w:pPr>
        <w:pStyle w:val="ListParagraph"/>
        <w:spacing w:before="120"/>
        <w:ind w:left="0"/>
        <w:rPr>
          <w:b/>
        </w:rPr>
      </w:pPr>
    </w:p>
    <w:p w14:paraId="360FB785" w14:textId="77777777" w:rsidR="00E20C09" w:rsidRDefault="00E20C09">
      <w:pPr>
        <w:rPr>
          <w:b/>
          <w:sz w:val="22"/>
        </w:rPr>
      </w:pPr>
      <w:r>
        <w:rPr>
          <w:b/>
          <w:sz w:val="22"/>
        </w:rPr>
        <w:br w:type="page"/>
      </w:r>
    </w:p>
    <w:p w14:paraId="0DE9B66C" w14:textId="64C35E90" w:rsidR="00DF15A3" w:rsidRPr="0069660B" w:rsidRDefault="00DF15A3" w:rsidP="00DF15A3">
      <w:pPr>
        <w:pStyle w:val="ListParagraph"/>
        <w:spacing w:before="120"/>
        <w:ind w:left="0"/>
        <w:rPr>
          <w:b/>
          <w:sz w:val="22"/>
        </w:rPr>
      </w:pPr>
      <w:r w:rsidRPr="0069660B">
        <w:rPr>
          <w:b/>
          <w:sz w:val="22"/>
        </w:rPr>
        <w:lastRenderedPageBreak/>
        <w:t>Table 1. Program Water Projects Operational in 2018.</w:t>
      </w:r>
    </w:p>
    <w:tbl>
      <w:tblPr>
        <w:tblStyle w:val="TableGrid"/>
        <w:tblW w:w="0" w:type="auto"/>
        <w:tblLook w:val="04A0" w:firstRow="1" w:lastRow="0" w:firstColumn="1" w:lastColumn="0" w:noHBand="0" w:noVBand="1"/>
      </w:tblPr>
      <w:tblGrid>
        <w:gridCol w:w="6723"/>
        <w:gridCol w:w="1325"/>
        <w:gridCol w:w="1302"/>
      </w:tblGrid>
      <w:tr w:rsidR="000E2D45" w:rsidRPr="0069660B" w14:paraId="4A634CF6" w14:textId="666DE740" w:rsidTr="00F645B5">
        <w:trPr>
          <w:trHeight w:val="288"/>
        </w:trPr>
        <w:tc>
          <w:tcPr>
            <w:tcW w:w="6723" w:type="dxa"/>
            <w:shd w:val="clear" w:color="auto" w:fill="C2D69B" w:themeFill="accent3" w:themeFillTint="99"/>
            <w:vAlign w:val="bottom"/>
          </w:tcPr>
          <w:p w14:paraId="7B0321F1" w14:textId="4385E2B0" w:rsidR="000E2D45" w:rsidRPr="0069660B" w:rsidRDefault="000E2D45" w:rsidP="00DF15A3">
            <w:pPr>
              <w:pStyle w:val="ListParagraph"/>
              <w:ind w:left="0"/>
              <w:jc w:val="center"/>
              <w:rPr>
                <w:b/>
                <w:sz w:val="22"/>
              </w:rPr>
            </w:pPr>
            <w:r w:rsidRPr="0069660B">
              <w:rPr>
                <w:b/>
                <w:sz w:val="22"/>
              </w:rPr>
              <w:t>Project</w:t>
            </w:r>
          </w:p>
        </w:tc>
        <w:tc>
          <w:tcPr>
            <w:tcW w:w="1325" w:type="dxa"/>
            <w:shd w:val="clear" w:color="auto" w:fill="C2D69B" w:themeFill="accent3" w:themeFillTint="99"/>
            <w:vAlign w:val="bottom"/>
          </w:tcPr>
          <w:p w14:paraId="423A1C7A" w14:textId="37AB7F3E" w:rsidR="000E2D45" w:rsidRPr="0069660B" w:rsidRDefault="000E2D45" w:rsidP="00DF15A3">
            <w:pPr>
              <w:pStyle w:val="ListParagraph"/>
              <w:ind w:left="0"/>
              <w:jc w:val="center"/>
              <w:rPr>
                <w:b/>
                <w:sz w:val="22"/>
              </w:rPr>
            </w:pPr>
            <w:r w:rsidRPr="0069660B">
              <w:rPr>
                <w:b/>
                <w:sz w:val="22"/>
              </w:rPr>
              <w:t>First Year of Operation</w:t>
            </w:r>
          </w:p>
        </w:tc>
        <w:tc>
          <w:tcPr>
            <w:tcW w:w="1302" w:type="dxa"/>
            <w:shd w:val="clear" w:color="auto" w:fill="C2D69B" w:themeFill="accent3" w:themeFillTint="99"/>
          </w:tcPr>
          <w:p w14:paraId="214D7378" w14:textId="02F59053" w:rsidR="000E2D45" w:rsidRPr="0069660B" w:rsidRDefault="000E2D45" w:rsidP="00DF15A3">
            <w:pPr>
              <w:pStyle w:val="ListParagraph"/>
              <w:ind w:left="0"/>
              <w:jc w:val="center"/>
              <w:rPr>
                <w:b/>
                <w:sz w:val="22"/>
              </w:rPr>
            </w:pPr>
            <w:r>
              <w:rPr>
                <w:b/>
                <w:sz w:val="22"/>
              </w:rPr>
              <w:t>Number of Years of Operation</w:t>
            </w:r>
          </w:p>
        </w:tc>
      </w:tr>
      <w:tr w:rsidR="001B6F30" w:rsidRPr="0069660B" w14:paraId="0233C729" w14:textId="335387AE" w:rsidTr="00167858">
        <w:trPr>
          <w:trHeight w:val="288"/>
        </w:trPr>
        <w:tc>
          <w:tcPr>
            <w:tcW w:w="9350" w:type="dxa"/>
            <w:gridSpan w:val="3"/>
            <w:shd w:val="clear" w:color="auto" w:fill="BFBFBF" w:themeFill="background1" w:themeFillShade="BF"/>
          </w:tcPr>
          <w:p w14:paraId="2688E3D2" w14:textId="51CC3D4C" w:rsidR="001B6F30" w:rsidRPr="0069660B" w:rsidRDefault="001B6F30" w:rsidP="00DF15A3">
            <w:pPr>
              <w:pStyle w:val="ListParagraph"/>
              <w:ind w:left="0"/>
              <w:rPr>
                <w:sz w:val="22"/>
              </w:rPr>
            </w:pPr>
            <w:r w:rsidRPr="0069660B">
              <w:rPr>
                <w:sz w:val="22"/>
              </w:rPr>
              <w:t>State Water Projects</w:t>
            </w:r>
          </w:p>
        </w:tc>
      </w:tr>
      <w:tr w:rsidR="000E2D45" w:rsidRPr="0069660B" w14:paraId="35080EC8" w14:textId="6C98BF4F" w:rsidTr="00F645B5">
        <w:trPr>
          <w:trHeight w:val="288"/>
        </w:trPr>
        <w:tc>
          <w:tcPr>
            <w:tcW w:w="6723" w:type="dxa"/>
          </w:tcPr>
          <w:p w14:paraId="176C2745" w14:textId="20867678" w:rsidR="000E2D45" w:rsidRPr="0069660B" w:rsidRDefault="000E2D45" w:rsidP="00DF15A3">
            <w:pPr>
              <w:pStyle w:val="ListParagraph"/>
              <w:ind w:left="0"/>
              <w:rPr>
                <w:sz w:val="22"/>
              </w:rPr>
            </w:pPr>
            <w:r w:rsidRPr="0069660B">
              <w:rPr>
                <w:sz w:val="22"/>
              </w:rPr>
              <w:t>Tamarack I</w:t>
            </w:r>
          </w:p>
        </w:tc>
        <w:tc>
          <w:tcPr>
            <w:tcW w:w="1325" w:type="dxa"/>
          </w:tcPr>
          <w:p w14:paraId="2B2B3E76" w14:textId="16E1C847" w:rsidR="000E2D45" w:rsidRPr="0069660B" w:rsidRDefault="000E2D45" w:rsidP="00323066">
            <w:pPr>
              <w:pStyle w:val="ListParagraph"/>
              <w:ind w:left="0"/>
              <w:jc w:val="center"/>
              <w:rPr>
                <w:sz w:val="22"/>
              </w:rPr>
            </w:pPr>
            <w:r w:rsidRPr="0069660B">
              <w:rPr>
                <w:sz w:val="22"/>
              </w:rPr>
              <w:t>2007</w:t>
            </w:r>
          </w:p>
        </w:tc>
        <w:tc>
          <w:tcPr>
            <w:tcW w:w="1302" w:type="dxa"/>
          </w:tcPr>
          <w:p w14:paraId="3AF0399A" w14:textId="7839884D" w:rsidR="000E2D45" w:rsidRPr="0069660B" w:rsidRDefault="001B6F30" w:rsidP="00323066">
            <w:pPr>
              <w:pStyle w:val="ListParagraph"/>
              <w:ind w:left="0"/>
              <w:jc w:val="center"/>
              <w:rPr>
                <w:sz w:val="22"/>
              </w:rPr>
            </w:pPr>
            <w:r>
              <w:rPr>
                <w:sz w:val="22"/>
              </w:rPr>
              <w:t>12</w:t>
            </w:r>
          </w:p>
        </w:tc>
      </w:tr>
      <w:tr w:rsidR="000E2D45" w:rsidRPr="0069660B" w14:paraId="494E3D56" w14:textId="2CDEA52F" w:rsidTr="00F645B5">
        <w:trPr>
          <w:trHeight w:val="288"/>
        </w:trPr>
        <w:tc>
          <w:tcPr>
            <w:tcW w:w="6723" w:type="dxa"/>
          </w:tcPr>
          <w:p w14:paraId="112BE74D" w14:textId="2E23EFA4" w:rsidR="000E2D45" w:rsidRPr="0069660B" w:rsidRDefault="000E2D45" w:rsidP="00DF15A3">
            <w:pPr>
              <w:pStyle w:val="ListParagraph"/>
              <w:ind w:left="0"/>
              <w:rPr>
                <w:sz w:val="22"/>
              </w:rPr>
            </w:pPr>
            <w:r w:rsidRPr="0069660B">
              <w:rPr>
                <w:sz w:val="22"/>
              </w:rPr>
              <w:t>Lake McConaughy EA</w:t>
            </w:r>
          </w:p>
        </w:tc>
        <w:tc>
          <w:tcPr>
            <w:tcW w:w="1325" w:type="dxa"/>
          </w:tcPr>
          <w:p w14:paraId="5C5523E0" w14:textId="364072D7" w:rsidR="000E2D45" w:rsidRPr="0069660B" w:rsidRDefault="000E2D45" w:rsidP="00323066">
            <w:pPr>
              <w:pStyle w:val="ListParagraph"/>
              <w:ind w:left="0"/>
              <w:jc w:val="center"/>
              <w:rPr>
                <w:sz w:val="22"/>
              </w:rPr>
            </w:pPr>
            <w:r w:rsidRPr="0069660B">
              <w:rPr>
                <w:sz w:val="22"/>
              </w:rPr>
              <w:t>2007</w:t>
            </w:r>
          </w:p>
        </w:tc>
        <w:tc>
          <w:tcPr>
            <w:tcW w:w="1302" w:type="dxa"/>
          </w:tcPr>
          <w:p w14:paraId="7473C68D" w14:textId="6CE84749" w:rsidR="000E2D45" w:rsidRPr="0069660B" w:rsidRDefault="001B6F30" w:rsidP="00323066">
            <w:pPr>
              <w:pStyle w:val="ListParagraph"/>
              <w:ind w:left="0"/>
              <w:jc w:val="center"/>
              <w:rPr>
                <w:sz w:val="22"/>
              </w:rPr>
            </w:pPr>
            <w:r>
              <w:rPr>
                <w:sz w:val="22"/>
              </w:rPr>
              <w:t>12</w:t>
            </w:r>
          </w:p>
        </w:tc>
      </w:tr>
      <w:tr w:rsidR="000E2D45" w:rsidRPr="0069660B" w14:paraId="40AD4813" w14:textId="1894FE32" w:rsidTr="00F645B5">
        <w:trPr>
          <w:trHeight w:val="288"/>
        </w:trPr>
        <w:tc>
          <w:tcPr>
            <w:tcW w:w="6723" w:type="dxa"/>
          </w:tcPr>
          <w:p w14:paraId="5993FAD6" w14:textId="236F28F1" w:rsidR="000E2D45" w:rsidRPr="0069660B" w:rsidRDefault="000E2D45" w:rsidP="00DF15A3">
            <w:pPr>
              <w:pStyle w:val="ListParagraph"/>
              <w:ind w:left="0"/>
              <w:rPr>
                <w:sz w:val="22"/>
              </w:rPr>
            </w:pPr>
            <w:r w:rsidRPr="0069660B">
              <w:rPr>
                <w:sz w:val="22"/>
              </w:rPr>
              <w:t>Pathfinder EA</w:t>
            </w:r>
          </w:p>
        </w:tc>
        <w:tc>
          <w:tcPr>
            <w:tcW w:w="1325" w:type="dxa"/>
          </w:tcPr>
          <w:p w14:paraId="1D0AC17B" w14:textId="4526ECEA" w:rsidR="000E2D45" w:rsidRPr="0069660B" w:rsidRDefault="000E2D45" w:rsidP="00323066">
            <w:pPr>
              <w:pStyle w:val="ListParagraph"/>
              <w:ind w:left="0"/>
              <w:jc w:val="center"/>
              <w:rPr>
                <w:sz w:val="22"/>
              </w:rPr>
            </w:pPr>
            <w:r w:rsidRPr="0069660B">
              <w:rPr>
                <w:sz w:val="22"/>
              </w:rPr>
              <w:t>2012</w:t>
            </w:r>
          </w:p>
        </w:tc>
        <w:tc>
          <w:tcPr>
            <w:tcW w:w="1302" w:type="dxa"/>
          </w:tcPr>
          <w:p w14:paraId="26E87817" w14:textId="26039A3B" w:rsidR="000E2D45" w:rsidRPr="0069660B" w:rsidRDefault="001B6F30" w:rsidP="00323066">
            <w:pPr>
              <w:pStyle w:val="ListParagraph"/>
              <w:ind w:left="0"/>
              <w:jc w:val="center"/>
              <w:rPr>
                <w:sz w:val="22"/>
              </w:rPr>
            </w:pPr>
            <w:r>
              <w:rPr>
                <w:sz w:val="22"/>
              </w:rPr>
              <w:t>7</w:t>
            </w:r>
          </w:p>
        </w:tc>
      </w:tr>
      <w:tr w:rsidR="001B6F30" w:rsidRPr="0069660B" w14:paraId="762BC787" w14:textId="3F53DF79" w:rsidTr="00167858">
        <w:trPr>
          <w:trHeight w:val="288"/>
        </w:trPr>
        <w:tc>
          <w:tcPr>
            <w:tcW w:w="9350" w:type="dxa"/>
            <w:gridSpan w:val="3"/>
            <w:shd w:val="clear" w:color="auto" w:fill="BFBFBF" w:themeFill="background1" w:themeFillShade="BF"/>
          </w:tcPr>
          <w:p w14:paraId="0FB10BFD" w14:textId="58E8FB02" w:rsidR="001B6F30" w:rsidRPr="0069660B" w:rsidRDefault="001B6F30" w:rsidP="00DF15A3">
            <w:pPr>
              <w:pStyle w:val="ListParagraph"/>
              <w:ind w:left="0"/>
              <w:rPr>
                <w:sz w:val="22"/>
              </w:rPr>
            </w:pPr>
            <w:r w:rsidRPr="0069660B">
              <w:rPr>
                <w:sz w:val="22"/>
              </w:rPr>
              <w:t>Water Action Plan Projects</w:t>
            </w:r>
          </w:p>
        </w:tc>
      </w:tr>
      <w:tr w:rsidR="000E2D45" w:rsidRPr="0069660B" w14:paraId="7307955E" w14:textId="16259306" w:rsidTr="00F645B5">
        <w:trPr>
          <w:trHeight w:val="288"/>
        </w:trPr>
        <w:tc>
          <w:tcPr>
            <w:tcW w:w="6723" w:type="dxa"/>
          </w:tcPr>
          <w:p w14:paraId="08927B16" w14:textId="05A08BC8" w:rsidR="000E2D45" w:rsidRPr="0069660B" w:rsidRDefault="000E2D45" w:rsidP="00DF15A3">
            <w:pPr>
              <w:pStyle w:val="ListParagraph"/>
              <w:ind w:left="0"/>
              <w:rPr>
                <w:sz w:val="22"/>
              </w:rPr>
            </w:pPr>
            <w:r w:rsidRPr="0069660B">
              <w:rPr>
                <w:sz w:val="22"/>
              </w:rPr>
              <w:t>No-Cost NCCW</w:t>
            </w:r>
            <w:r w:rsidRPr="0069660B">
              <w:rPr>
                <w:sz w:val="22"/>
                <w:vertAlign w:val="superscript"/>
              </w:rPr>
              <w:t>1</w:t>
            </w:r>
          </w:p>
        </w:tc>
        <w:tc>
          <w:tcPr>
            <w:tcW w:w="1325" w:type="dxa"/>
          </w:tcPr>
          <w:p w14:paraId="7688A3FA" w14:textId="42421C71" w:rsidR="000E2D45" w:rsidRPr="0069660B" w:rsidRDefault="000E2D45" w:rsidP="00323066">
            <w:pPr>
              <w:pStyle w:val="ListParagraph"/>
              <w:ind w:left="0"/>
              <w:jc w:val="center"/>
              <w:rPr>
                <w:sz w:val="22"/>
              </w:rPr>
            </w:pPr>
            <w:r w:rsidRPr="0069660B">
              <w:rPr>
                <w:sz w:val="22"/>
              </w:rPr>
              <w:t>2007</w:t>
            </w:r>
          </w:p>
        </w:tc>
        <w:tc>
          <w:tcPr>
            <w:tcW w:w="1302" w:type="dxa"/>
          </w:tcPr>
          <w:p w14:paraId="3A8603CE" w14:textId="0F6EA101" w:rsidR="000E2D45" w:rsidRPr="0069660B" w:rsidRDefault="001B6F30" w:rsidP="00323066">
            <w:pPr>
              <w:pStyle w:val="ListParagraph"/>
              <w:ind w:left="0"/>
              <w:jc w:val="center"/>
              <w:rPr>
                <w:sz w:val="22"/>
              </w:rPr>
            </w:pPr>
            <w:r>
              <w:rPr>
                <w:sz w:val="22"/>
              </w:rPr>
              <w:t>12</w:t>
            </w:r>
          </w:p>
        </w:tc>
      </w:tr>
      <w:tr w:rsidR="000E2D45" w:rsidRPr="0069660B" w14:paraId="6BB6F2A8" w14:textId="424CB946" w:rsidTr="00F645B5">
        <w:trPr>
          <w:trHeight w:val="288"/>
        </w:trPr>
        <w:tc>
          <w:tcPr>
            <w:tcW w:w="6723" w:type="dxa"/>
          </w:tcPr>
          <w:p w14:paraId="04FA388E" w14:textId="0A08E089" w:rsidR="000E2D45" w:rsidRPr="0069660B" w:rsidRDefault="000E2D45" w:rsidP="00DF15A3">
            <w:pPr>
              <w:pStyle w:val="ListParagraph"/>
              <w:ind w:left="0"/>
              <w:rPr>
                <w:sz w:val="22"/>
              </w:rPr>
            </w:pPr>
            <w:r w:rsidRPr="0069660B">
              <w:rPr>
                <w:sz w:val="22"/>
              </w:rPr>
              <w:t>Phelps County Canal Groundwater Recharge</w:t>
            </w:r>
          </w:p>
        </w:tc>
        <w:tc>
          <w:tcPr>
            <w:tcW w:w="1325" w:type="dxa"/>
          </w:tcPr>
          <w:p w14:paraId="0E584760" w14:textId="5F280C17" w:rsidR="000E2D45" w:rsidRPr="0069660B" w:rsidRDefault="000E2D45" w:rsidP="00323066">
            <w:pPr>
              <w:pStyle w:val="ListParagraph"/>
              <w:ind w:left="0"/>
              <w:jc w:val="center"/>
              <w:rPr>
                <w:sz w:val="22"/>
              </w:rPr>
            </w:pPr>
            <w:r w:rsidRPr="0069660B">
              <w:rPr>
                <w:sz w:val="22"/>
              </w:rPr>
              <w:t>2011</w:t>
            </w:r>
          </w:p>
        </w:tc>
        <w:tc>
          <w:tcPr>
            <w:tcW w:w="1302" w:type="dxa"/>
          </w:tcPr>
          <w:p w14:paraId="146C7831" w14:textId="222363BB" w:rsidR="000E2D45" w:rsidRPr="0069660B" w:rsidRDefault="001B6F30" w:rsidP="00323066">
            <w:pPr>
              <w:pStyle w:val="ListParagraph"/>
              <w:ind w:left="0"/>
              <w:jc w:val="center"/>
              <w:rPr>
                <w:sz w:val="22"/>
              </w:rPr>
            </w:pPr>
            <w:r>
              <w:rPr>
                <w:sz w:val="22"/>
              </w:rPr>
              <w:t>8</w:t>
            </w:r>
          </w:p>
        </w:tc>
      </w:tr>
      <w:tr w:rsidR="000E2D45" w:rsidRPr="0069660B" w14:paraId="3FDB3111" w14:textId="204BA766" w:rsidTr="00F645B5">
        <w:trPr>
          <w:trHeight w:val="288"/>
        </w:trPr>
        <w:tc>
          <w:tcPr>
            <w:tcW w:w="6723" w:type="dxa"/>
          </w:tcPr>
          <w:p w14:paraId="64880D7E" w14:textId="78BBAC16" w:rsidR="000E2D45" w:rsidRPr="0069660B" w:rsidRDefault="000E2D45" w:rsidP="00DF15A3">
            <w:pPr>
              <w:pStyle w:val="ListParagraph"/>
              <w:ind w:left="0"/>
              <w:rPr>
                <w:sz w:val="22"/>
              </w:rPr>
            </w:pPr>
            <w:r w:rsidRPr="0069660B">
              <w:rPr>
                <w:sz w:val="22"/>
              </w:rPr>
              <w:t>Pathfinder Municipal Account Lease</w:t>
            </w:r>
          </w:p>
        </w:tc>
        <w:tc>
          <w:tcPr>
            <w:tcW w:w="1325" w:type="dxa"/>
          </w:tcPr>
          <w:p w14:paraId="527A7B5B" w14:textId="7231C214" w:rsidR="000E2D45" w:rsidRPr="0069660B" w:rsidRDefault="000E2D45" w:rsidP="00323066">
            <w:pPr>
              <w:pStyle w:val="ListParagraph"/>
              <w:ind w:left="0"/>
              <w:jc w:val="center"/>
              <w:rPr>
                <w:sz w:val="22"/>
              </w:rPr>
            </w:pPr>
            <w:r w:rsidRPr="0069660B">
              <w:rPr>
                <w:sz w:val="22"/>
              </w:rPr>
              <w:t>2012</w:t>
            </w:r>
          </w:p>
        </w:tc>
        <w:tc>
          <w:tcPr>
            <w:tcW w:w="1302" w:type="dxa"/>
          </w:tcPr>
          <w:p w14:paraId="1161C55B" w14:textId="42B5B189" w:rsidR="000E2D45" w:rsidRPr="0069660B" w:rsidRDefault="001B6F30" w:rsidP="00323066">
            <w:pPr>
              <w:pStyle w:val="ListParagraph"/>
              <w:ind w:left="0"/>
              <w:jc w:val="center"/>
              <w:rPr>
                <w:sz w:val="22"/>
              </w:rPr>
            </w:pPr>
            <w:r>
              <w:rPr>
                <w:sz w:val="22"/>
              </w:rPr>
              <w:t>7</w:t>
            </w:r>
          </w:p>
        </w:tc>
      </w:tr>
      <w:tr w:rsidR="000E2D45" w:rsidRPr="0069660B" w14:paraId="29E46516" w14:textId="6EDCEA9B" w:rsidTr="00F645B5">
        <w:trPr>
          <w:trHeight w:val="288"/>
        </w:trPr>
        <w:tc>
          <w:tcPr>
            <w:tcW w:w="6723" w:type="dxa"/>
          </w:tcPr>
          <w:p w14:paraId="56F63F4D" w14:textId="2E5DA856" w:rsidR="000E2D45" w:rsidRPr="0069660B" w:rsidRDefault="000E2D45" w:rsidP="00DF15A3">
            <w:pPr>
              <w:pStyle w:val="ListParagraph"/>
              <w:ind w:left="0"/>
              <w:rPr>
                <w:sz w:val="22"/>
              </w:rPr>
            </w:pPr>
            <w:r w:rsidRPr="0069660B">
              <w:rPr>
                <w:sz w:val="22"/>
              </w:rPr>
              <w:t>Elwood Reservoir Recharge</w:t>
            </w:r>
          </w:p>
        </w:tc>
        <w:tc>
          <w:tcPr>
            <w:tcW w:w="1325" w:type="dxa"/>
          </w:tcPr>
          <w:p w14:paraId="3FE75CEA" w14:textId="1BBC4AB1" w:rsidR="000E2D45" w:rsidRPr="0069660B" w:rsidRDefault="000E2D45" w:rsidP="00323066">
            <w:pPr>
              <w:pStyle w:val="ListParagraph"/>
              <w:ind w:left="0"/>
              <w:jc w:val="center"/>
              <w:rPr>
                <w:sz w:val="22"/>
              </w:rPr>
            </w:pPr>
            <w:r w:rsidRPr="0069660B">
              <w:rPr>
                <w:sz w:val="22"/>
              </w:rPr>
              <w:t>2015</w:t>
            </w:r>
          </w:p>
        </w:tc>
        <w:tc>
          <w:tcPr>
            <w:tcW w:w="1302" w:type="dxa"/>
          </w:tcPr>
          <w:p w14:paraId="2C211F24" w14:textId="4F689BE0" w:rsidR="000E2D45" w:rsidRPr="0069660B" w:rsidRDefault="001B6F30" w:rsidP="00323066">
            <w:pPr>
              <w:pStyle w:val="ListParagraph"/>
              <w:ind w:left="0"/>
              <w:jc w:val="center"/>
              <w:rPr>
                <w:sz w:val="22"/>
              </w:rPr>
            </w:pPr>
            <w:r>
              <w:rPr>
                <w:sz w:val="22"/>
              </w:rPr>
              <w:t>4</w:t>
            </w:r>
          </w:p>
        </w:tc>
      </w:tr>
      <w:tr w:rsidR="000E2D45" w:rsidRPr="0069660B" w14:paraId="3EFAFC5D" w14:textId="0DB47209" w:rsidTr="00F645B5">
        <w:trPr>
          <w:trHeight w:val="288"/>
        </w:trPr>
        <w:tc>
          <w:tcPr>
            <w:tcW w:w="6723" w:type="dxa"/>
          </w:tcPr>
          <w:p w14:paraId="3A06BBEF" w14:textId="766D4185" w:rsidR="000E2D45" w:rsidRPr="0069660B" w:rsidRDefault="000E2D45" w:rsidP="00DF15A3">
            <w:pPr>
              <w:pStyle w:val="ListParagraph"/>
              <w:ind w:left="0"/>
              <w:rPr>
                <w:sz w:val="22"/>
              </w:rPr>
            </w:pPr>
            <w:r w:rsidRPr="0069660B">
              <w:rPr>
                <w:sz w:val="22"/>
              </w:rPr>
              <w:t>CPNRD</w:t>
            </w:r>
            <w:r w:rsidRPr="0069660B">
              <w:rPr>
                <w:sz w:val="22"/>
                <w:vertAlign w:val="superscript"/>
              </w:rPr>
              <w:t>2</w:t>
            </w:r>
            <w:r w:rsidRPr="0069660B">
              <w:rPr>
                <w:sz w:val="22"/>
              </w:rPr>
              <w:t xml:space="preserve"> Recharge (Thirty Mile, Cozad, and Orchard-Alfalfa canals)</w:t>
            </w:r>
          </w:p>
        </w:tc>
        <w:tc>
          <w:tcPr>
            <w:tcW w:w="1325" w:type="dxa"/>
          </w:tcPr>
          <w:p w14:paraId="2F64897B" w14:textId="65110D9A" w:rsidR="000E2D45" w:rsidRPr="0069660B" w:rsidRDefault="000E2D45" w:rsidP="00323066">
            <w:pPr>
              <w:pStyle w:val="ListParagraph"/>
              <w:ind w:left="0"/>
              <w:jc w:val="center"/>
              <w:rPr>
                <w:sz w:val="22"/>
              </w:rPr>
            </w:pPr>
            <w:r w:rsidRPr="0069660B">
              <w:rPr>
                <w:sz w:val="22"/>
              </w:rPr>
              <w:t>2015</w:t>
            </w:r>
          </w:p>
        </w:tc>
        <w:tc>
          <w:tcPr>
            <w:tcW w:w="1302" w:type="dxa"/>
          </w:tcPr>
          <w:p w14:paraId="5E878175" w14:textId="7B30C8AC" w:rsidR="000E2D45" w:rsidRPr="0069660B" w:rsidRDefault="001B6F30" w:rsidP="00323066">
            <w:pPr>
              <w:pStyle w:val="ListParagraph"/>
              <w:ind w:left="0"/>
              <w:jc w:val="center"/>
              <w:rPr>
                <w:sz w:val="22"/>
              </w:rPr>
            </w:pPr>
            <w:r>
              <w:rPr>
                <w:sz w:val="22"/>
              </w:rPr>
              <w:t>6</w:t>
            </w:r>
          </w:p>
        </w:tc>
      </w:tr>
      <w:tr w:rsidR="000E2D45" w:rsidRPr="0069660B" w14:paraId="2DD370C9" w14:textId="0F7E5C91" w:rsidTr="00F645B5">
        <w:trPr>
          <w:trHeight w:val="288"/>
        </w:trPr>
        <w:tc>
          <w:tcPr>
            <w:tcW w:w="6723" w:type="dxa"/>
          </w:tcPr>
          <w:p w14:paraId="3DB05CF8" w14:textId="5877823A" w:rsidR="000E2D45" w:rsidRPr="0069660B" w:rsidRDefault="000E2D45" w:rsidP="00DF15A3">
            <w:pPr>
              <w:pStyle w:val="ListParagraph"/>
              <w:ind w:left="0"/>
              <w:rPr>
                <w:sz w:val="22"/>
              </w:rPr>
            </w:pPr>
            <w:r w:rsidRPr="0069660B">
              <w:rPr>
                <w:sz w:val="22"/>
              </w:rPr>
              <w:t>NPPD</w:t>
            </w:r>
            <w:r w:rsidRPr="0069660B">
              <w:rPr>
                <w:sz w:val="22"/>
                <w:vertAlign w:val="superscript"/>
              </w:rPr>
              <w:t>3</w:t>
            </w:r>
            <w:r w:rsidRPr="0069660B">
              <w:rPr>
                <w:sz w:val="22"/>
              </w:rPr>
              <w:t xml:space="preserve"> Recharge (Gothenburg and Dawson County canals)</w:t>
            </w:r>
          </w:p>
        </w:tc>
        <w:tc>
          <w:tcPr>
            <w:tcW w:w="1325" w:type="dxa"/>
          </w:tcPr>
          <w:p w14:paraId="31EB6020" w14:textId="0B1D7A03" w:rsidR="000E2D45" w:rsidRPr="0069660B" w:rsidRDefault="000E2D45" w:rsidP="00323066">
            <w:pPr>
              <w:pStyle w:val="ListParagraph"/>
              <w:ind w:left="0"/>
              <w:jc w:val="center"/>
              <w:rPr>
                <w:sz w:val="22"/>
              </w:rPr>
            </w:pPr>
            <w:r w:rsidRPr="0069660B">
              <w:rPr>
                <w:sz w:val="22"/>
              </w:rPr>
              <w:t>2015</w:t>
            </w:r>
          </w:p>
        </w:tc>
        <w:tc>
          <w:tcPr>
            <w:tcW w:w="1302" w:type="dxa"/>
          </w:tcPr>
          <w:p w14:paraId="7DB1F233" w14:textId="198F68B2" w:rsidR="000E2D45" w:rsidRPr="0069660B" w:rsidRDefault="001B6F30" w:rsidP="00323066">
            <w:pPr>
              <w:pStyle w:val="ListParagraph"/>
              <w:ind w:left="0"/>
              <w:jc w:val="center"/>
              <w:rPr>
                <w:sz w:val="22"/>
              </w:rPr>
            </w:pPr>
            <w:r>
              <w:rPr>
                <w:sz w:val="22"/>
              </w:rPr>
              <w:t>4</w:t>
            </w:r>
          </w:p>
        </w:tc>
      </w:tr>
      <w:tr w:rsidR="000E2D45" w:rsidRPr="0069660B" w14:paraId="3AFA5320" w14:textId="2EA59254" w:rsidTr="00F645B5">
        <w:trPr>
          <w:trHeight w:val="288"/>
        </w:trPr>
        <w:tc>
          <w:tcPr>
            <w:tcW w:w="6723" w:type="dxa"/>
          </w:tcPr>
          <w:p w14:paraId="6BBB671A" w14:textId="04046AEA" w:rsidR="000E2D45" w:rsidRPr="0069660B" w:rsidRDefault="000E2D45" w:rsidP="00DF15A3">
            <w:pPr>
              <w:pStyle w:val="ListParagraph"/>
              <w:ind w:left="0"/>
              <w:rPr>
                <w:sz w:val="22"/>
              </w:rPr>
            </w:pPr>
            <w:r w:rsidRPr="0069660B">
              <w:rPr>
                <w:sz w:val="22"/>
              </w:rPr>
              <w:t>Cook Recapture Well</w:t>
            </w:r>
            <w:r>
              <w:rPr>
                <w:sz w:val="22"/>
              </w:rPr>
              <w:t xml:space="preserve"> (effectively part of the Phelps recharge project)</w:t>
            </w:r>
          </w:p>
        </w:tc>
        <w:tc>
          <w:tcPr>
            <w:tcW w:w="1325" w:type="dxa"/>
          </w:tcPr>
          <w:p w14:paraId="0F6F46C3" w14:textId="21360373" w:rsidR="000E2D45" w:rsidRPr="0069660B" w:rsidRDefault="000E2D45" w:rsidP="00323066">
            <w:pPr>
              <w:pStyle w:val="ListParagraph"/>
              <w:ind w:left="0"/>
              <w:jc w:val="center"/>
              <w:rPr>
                <w:sz w:val="22"/>
              </w:rPr>
            </w:pPr>
            <w:r w:rsidRPr="0069660B">
              <w:rPr>
                <w:sz w:val="22"/>
              </w:rPr>
              <w:t>2016</w:t>
            </w:r>
          </w:p>
        </w:tc>
        <w:tc>
          <w:tcPr>
            <w:tcW w:w="1302" w:type="dxa"/>
          </w:tcPr>
          <w:p w14:paraId="20EB677A" w14:textId="2DB03208" w:rsidR="000E2D45" w:rsidRPr="0069660B" w:rsidRDefault="001B6F30" w:rsidP="00323066">
            <w:pPr>
              <w:pStyle w:val="ListParagraph"/>
              <w:ind w:left="0"/>
              <w:jc w:val="center"/>
              <w:rPr>
                <w:sz w:val="22"/>
              </w:rPr>
            </w:pPr>
            <w:r>
              <w:rPr>
                <w:sz w:val="22"/>
              </w:rPr>
              <w:t>3</w:t>
            </w:r>
          </w:p>
        </w:tc>
      </w:tr>
      <w:tr w:rsidR="000E2D45" w:rsidRPr="0069660B" w14:paraId="42F23BFA" w14:textId="01ED6753" w:rsidTr="00F645B5">
        <w:trPr>
          <w:trHeight w:val="288"/>
        </w:trPr>
        <w:tc>
          <w:tcPr>
            <w:tcW w:w="6723" w:type="dxa"/>
          </w:tcPr>
          <w:p w14:paraId="782618E0" w14:textId="7BCBCF19" w:rsidR="000E2D45" w:rsidRPr="0069660B" w:rsidRDefault="000E2D45" w:rsidP="00DF15A3">
            <w:pPr>
              <w:pStyle w:val="ListParagraph"/>
              <w:ind w:left="0"/>
              <w:rPr>
                <w:sz w:val="22"/>
              </w:rPr>
            </w:pPr>
            <w:r w:rsidRPr="0069660B">
              <w:rPr>
                <w:sz w:val="22"/>
              </w:rPr>
              <w:t>CNPPID</w:t>
            </w:r>
            <w:r w:rsidRPr="0069660B">
              <w:rPr>
                <w:sz w:val="22"/>
                <w:vertAlign w:val="superscript"/>
              </w:rPr>
              <w:t>4</w:t>
            </w:r>
            <w:r w:rsidRPr="0069660B">
              <w:rPr>
                <w:sz w:val="22"/>
              </w:rPr>
              <w:t xml:space="preserve"> Irrigator Lease</w:t>
            </w:r>
          </w:p>
        </w:tc>
        <w:tc>
          <w:tcPr>
            <w:tcW w:w="1325" w:type="dxa"/>
          </w:tcPr>
          <w:p w14:paraId="68954E85" w14:textId="364C1A80" w:rsidR="000E2D45" w:rsidRPr="0069660B" w:rsidRDefault="000E2D45" w:rsidP="00323066">
            <w:pPr>
              <w:pStyle w:val="ListParagraph"/>
              <w:ind w:left="0"/>
              <w:jc w:val="center"/>
              <w:rPr>
                <w:sz w:val="22"/>
              </w:rPr>
            </w:pPr>
            <w:r w:rsidRPr="0069660B">
              <w:rPr>
                <w:sz w:val="22"/>
              </w:rPr>
              <w:t>2016</w:t>
            </w:r>
          </w:p>
        </w:tc>
        <w:tc>
          <w:tcPr>
            <w:tcW w:w="1302" w:type="dxa"/>
          </w:tcPr>
          <w:p w14:paraId="0BA190E1" w14:textId="5B7C2DAD" w:rsidR="000E2D45" w:rsidRPr="0069660B" w:rsidRDefault="001B6F30" w:rsidP="00323066">
            <w:pPr>
              <w:pStyle w:val="ListParagraph"/>
              <w:ind w:left="0"/>
              <w:jc w:val="center"/>
              <w:rPr>
                <w:sz w:val="22"/>
              </w:rPr>
            </w:pPr>
            <w:r>
              <w:rPr>
                <w:sz w:val="22"/>
              </w:rPr>
              <w:t>3</w:t>
            </w:r>
          </w:p>
        </w:tc>
      </w:tr>
      <w:tr w:rsidR="000E2D45" w:rsidRPr="0069660B" w14:paraId="30F8EAB5" w14:textId="503FC448" w:rsidTr="00F645B5">
        <w:trPr>
          <w:trHeight w:val="288"/>
        </w:trPr>
        <w:tc>
          <w:tcPr>
            <w:tcW w:w="6723" w:type="dxa"/>
          </w:tcPr>
          <w:p w14:paraId="34FD8047" w14:textId="7F072372" w:rsidR="000E2D45" w:rsidRPr="0069660B" w:rsidRDefault="000E2D45" w:rsidP="00DF15A3">
            <w:pPr>
              <w:pStyle w:val="ListParagraph"/>
              <w:ind w:left="0"/>
              <w:rPr>
                <w:sz w:val="22"/>
              </w:rPr>
            </w:pPr>
            <w:r w:rsidRPr="0069660B">
              <w:rPr>
                <w:sz w:val="22"/>
              </w:rPr>
              <w:t>CPNRD Pilot Exchange Project (Surface Water</w:t>
            </w:r>
            <w:r>
              <w:rPr>
                <w:sz w:val="22"/>
              </w:rPr>
              <w:t xml:space="preserve"> Lease</w:t>
            </w:r>
            <w:r w:rsidRPr="0069660B">
              <w:rPr>
                <w:sz w:val="22"/>
              </w:rPr>
              <w:t>)</w:t>
            </w:r>
          </w:p>
        </w:tc>
        <w:tc>
          <w:tcPr>
            <w:tcW w:w="1325" w:type="dxa"/>
          </w:tcPr>
          <w:p w14:paraId="7C2EF84F" w14:textId="4DF0C4F8" w:rsidR="000E2D45" w:rsidRPr="0069660B" w:rsidRDefault="000E2D45" w:rsidP="00323066">
            <w:pPr>
              <w:pStyle w:val="ListParagraph"/>
              <w:ind w:left="0"/>
              <w:jc w:val="center"/>
              <w:rPr>
                <w:sz w:val="22"/>
              </w:rPr>
            </w:pPr>
            <w:r w:rsidRPr="0069660B">
              <w:rPr>
                <w:sz w:val="22"/>
              </w:rPr>
              <w:t>2018</w:t>
            </w:r>
          </w:p>
        </w:tc>
        <w:tc>
          <w:tcPr>
            <w:tcW w:w="1302" w:type="dxa"/>
          </w:tcPr>
          <w:p w14:paraId="3959E600" w14:textId="45F13EB5" w:rsidR="000E2D45" w:rsidRPr="0069660B" w:rsidRDefault="001B6F30" w:rsidP="00323066">
            <w:pPr>
              <w:pStyle w:val="ListParagraph"/>
              <w:ind w:left="0"/>
              <w:jc w:val="center"/>
              <w:rPr>
                <w:sz w:val="22"/>
              </w:rPr>
            </w:pPr>
            <w:r>
              <w:rPr>
                <w:sz w:val="22"/>
              </w:rPr>
              <w:t>1</w:t>
            </w:r>
          </w:p>
        </w:tc>
      </w:tr>
    </w:tbl>
    <w:p w14:paraId="559B8012" w14:textId="5E467478" w:rsidR="009A2567" w:rsidRPr="0073227C" w:rsidRDefault="0073227C" w:rsidP="0073227C">
      <w:pPr>
        <w:pStyle w:val="ListParagraph"/>
        <w:ind w:left="0"/>
        <w:rPr>
          <w:sz w:val="20"/>
          <w:szCs w:val="20"/>
        </w:rPr>
      </w:pPr>
      <w:r w:rsidRPr="0073227C">
        <w:rPr>
          <w:sz w:val="20"/>
          <w:szCs w:val="20"/>
          <w:vertAlign w:val="superscript"/>
        </w:rPr>
        <w:t>1</w:t>
      </w:r>
      <w:r w:rsidRPr="0073227C">
        <w:rPr>
          <w:sz w:val="20"/>
          <w:szCs w:val="20"/>
        </w:rPr>
        <w:t xml:space="preserve"> NCCW = Net Controllable Conserved Water</w:t>
      </w:r>
    </w:p>
    <w:p w14:paraId="4FEEF5C3" w14:textId="7E349A52" w:rsidR="0073227C" w:rsidRPr="0073227C" w:rsidRDefault="0073227C" w:rsidP="0073227C">
      <w:pPr>
        <w:pStyle w:val="ListParagraph"/>
        <w:ind w:left="0"/>
        <w:rPr>
          <w:sz w:val="20"/>
          <w:szCs w:val="20"/>
        </w:rPr>
      </w:pPr>
      <w:r w:rsidRPr="0073227C">
        <w:rPr>
          <w:sz w:val="20"/>
          <w:szCs w:val="20"/>
          <w:vertAlign w:val="superscript"/>
        </w:rPr>
        <w:t>2</w:t>
      </w:r>
      <w:r w:rsidRPr="0073227C">
        <w:rPr>
          <w:sz w:val="20"/>
          <w:szCs w:val="20"/>
        </w:rPr>
        <w:t xml:space="preserve"> CPNRD = Central Platte Natural Resources District</w:t>
      </w:r>
    </w:p>
    <w:p w14:paraId="43114030" w14:textId="36550631" w:rsidR="0073227C" w:rsidRPr="0073227C" w:rsidRDefault="0073227C" w:rsidP="0073227C">
      <w:pPr>
        <w:pStyle w:val="ListParagraph"/>
        <w:ind w:left="0"/>
        <w:rPr>
          <w:sz w:val="20"/>
          <w:szCs w:val="20"/>
        </w:rPr>
      </w:pPr>
      <w:r w:rsidRPr="0073227C">
        <w:rPr>
          <w:sz w:val="20"/>
          <w:szCs w:val="20"/>
          <w:vertAlign w:val="superscript"/>
        </w:rPr>
        <w:t>3</w:t>
      </w:r>
      <w:r w:rsidRPr="0073227C">
        <w:rPr>
          <w:sz w:val="20"/>
          <w:szCs w:val="20"/>
        </w:rPr>
        <w:t xml:space="preserve"> NPPD = Nebraska Public Power District</w:t>
      </w:r>
    </w:p>
    <w:p w14:paraId="76DB5EF6" w14:textId="5BF5177C" w:rsidR="0073227C" w:rsidRPr="0073227C" w:rsidRDefault="0073227C" w:rsidP="0073227C">
      <w:pPr>
        <w:pStyle w:val="ListParagraph"/>
        <w:ind w:left="0"/>
        <w:rPr>
          <w:sz w:val="20"/>
          <w:szCs w:val="20"/>
        </w:rPr>
      </w:pPr>
      <w:r w:rsidRPr="0073227C">
        <w:rPr>
          <w:sz w:val="20"/>
          <w:szCs w:val="20"/>
          <w:vertAlign w:val="superscript"/>
        </w:rPr>
        <w:t>4</w:t>
      </w:r>
      <w:r w:rsidRPr="0073227C">
        <w:rPr>
          <w:sz w:val="20"/>
          <w:szCs w:val="20"/>
        </w:rPr>
        <w:t xml:space="preserve"> CNPPID = Central Nebraska Public Power and Irrigation District</w:t>
      </w:r>
    </w:p>
    <w:p w14:paraId="29288508" w14:textId="5E02CB60" w:rsidR="00AF6C19" w:rsidRDefault="004E0658" w:rsidP="00B9798C">
      <w:pPr>
        <w:pStyle w:val="ListParagraph"/>
        <w:numPr>
          <w:ilvl w:val="0"/>
          <w:numId w:val="2"/>
        </w:numPr>
        <w:spacing w:before="240" w:after="240"/>
        <w:ind w:left="360"/>
        <w:rPr>
          <w:b/>
        </w:rPr>
      </w:pPr>
      <w:r>
        <w:rPr>
          <w:b/>
        </w:rPr>
        <w:t>Purpose of Memo</w:t>
      </w:r>
    </w:p>
    <w:p w14:paraId="549DD940" w14:textId="6543893E" w:rsidR="00C21870" w:rsidRDefault="00DE7668" w:rsidP="00AB501B">
      <w:pPr>
        <w:pStyle w:val="ListParagraph"/>
        <w:spacing w:before="120" w:after="240"/>
        <w:ind w:left="0"/>
        <w:rPr>
          <w:szCs w:val="24"/>
        </w:rPr>
      </w:pPr>
      <w:r>
        <w:rPr>
          <w:szCs w:val="24"/>
        </w:rPr>
        <w:t xml:space="preserve">This </w:t>
      </w:r>
      <w:r w:rsidRPr="00C21870">
        <w:rPr>
          <w:szCs w:val="24"/>
        </w:rPr>
        <w:t>2018</w:t>
      </w:r>
      <w:r>
        <w:rPr>
          <w:szCs w:val="24"/>
        </w:rPr>
        <w:t xml:space="preserve"> PRRIP Water Projects Accounting Memorandum is a new document prepared by the Program’s Executive Director’s Office (EDO) to summarize the operations of the Program’s state water projects and those projects implemented under the W</w:t>
      </w:r>
      <w:r w:rsidR="00F5117B">
        <w:rPr>
          <w:szCs w:val="24"/>
        </w:rPr>
        <w:t>AP</w:t>
      </w:r>
      <w:r>
        <w:rPr>
          <w:szCs w:val="24"/>
        </w:rPr>
        <w:t>.</w:t>
      </w:r>
      <w:r w:rsidR="00DF6A0D">
        <w:rPr>
          <w:szCs w:val="24"/>
        </w:rPr>
        <w:t xml:space="preserve">  </w:t>
      </w:r>
      <w:r w:rsidR="00D4307C">
        <w:rPr>
          <w:szCs w:val="24"/>
        </w:rPr>
        <w:t xml:space="preserve">It is intended that this </w:t>
      </w:r>
      <w:r w:rsidR="00312F2D">
        <w:rPr>
          <w:szCs w:val="24"/>
        </w:rPr>
        <w:t xml:space="preserve">accounting </w:t>
      </w:r>
      <w:r w:rsidR="00D4307C">
        <w:rPr>
          <w:szCs w:val="24"/>
        </w:rPr>
        <w:t xml:space="preserve">memo will be updated annually.  </w:t>
      </w:r>
      <w:r w:rsidR="00DF6A0D">
        <w:rPr>
          <w:szCs w:val="24"/>
        </w:rPr>
        <w:t xml:space="preserve">Included in this memo </w:t>
      </w:r>
      <w:r w:rsidR="006A3023">
        <w:rPr>
          <w:szCs w:val="24"/>
        </w:rPr>
        <w:t>is</w:t>
      </w:r>
      <w:r w:rsidR="00DF6A0D">
        <w:rPr>
          <w:szCs w:val="24"/>
        </w:rPr>
        <w:t xml:space="preserve"> a reporting of water volumes contributed to or purchased by the Program during the past year</w:t>
      </w:r>
      <w:r w:rsidR="002F4A77">
        <w:rPr>
          <w:szCs w:val="24"/>
        </w:rPr>
        <w:t xml:space="preserve">: </w:t>
      </w:r>
    </w:p>
    <w:p w14:paraId="09BCC5A4" w14:textId="425D5961" w:rsidR="00C21870" w:rsidRDefault="00C21870" w:rsidP="00B9798C">
      <w:pPr>
        <w:pStyle w:val="ListParagraph"/>
        <w:numPr>
          <w:ilvl w:val="0"/>
          <w:numId w:val="7"/>
        </w:numPr>
        <w:spacing w:before="120" w:after="240"/>
        <w:rPr>
          <w:szCs w:val="24"/>
        </w:rPr>
      </w:pPr>
      <w:r>
        <w:rPr>
          <w:szCs w:val="24"/>
        </w:rPr>
        <w:t>E</w:t>
      </w:r>
      <w:r w:rsidR="006A3023">
        <w:rPr>
          <w:szCs w:val="24"/>
        </w:rPr>
        <w:t xml:space="preserve">xcess flows that were diverted for recharge </w:t>
      </w:r>
      <w:r w:rsidR="009C03D1">
        <w:rPr>
          <w:szCs w:val="24"/>
        </w:rPr>
        <w:t>during calendar year 2018</w:t>
      </w:r>
      <w:r w:rsidR="001D46DC" w:rsidRPr="00C21870">
        <w:rPr>
          <w:rStyle w:val="FootnoteReference"/>
          <w:szCs w:val="24"/>
        </w:rPr>
        <w:footnoteReference w:id="6"/>
      </w:r>
      <w:r w:rsidR="002F4A77" w:rsidRPr="00C21870">
        <w:rPr>
          <w:szCs w:val="24"/>
        </w:rPr>
        <w:t>;</w:t>
      </w:r>
      <w:r w:rsidR="006A3023" w:rsidRPr="00C21870">
        <w:rPr>
          <w:szCs w:val="24"/>
        </w:rPr>
        <w:t xml:space="preserve"> </w:t>
      </w:r>
    </w:p>
    <w:p w14:paraId="7FAE4D07" w14:textId="2339AB5F" w:rsidR="00C21870" w:rsidRDefault="00135884" w:rsidP="00B9798C">
      <w:pPr>
        <w:pStyle w:val="ListParagraph"/>
        <w:numPr>
          <w:ilvl w:val="0"/>
          <w:numId w:val="7"/>
        </w:numPr>
        <w:spacing w:before="120" w:after="240"/>
        <w:rPr>
          <w:szCs w:val="24"/>
        </w:rPr>
      </w:pPr>
      <w:r w:rsidRPr="00C21870">
        <w:rPr>
          <w:szCs w:val="24"/>
        </w:rPr>
        <w:t xml:space="preserve">Storable Natural Inflows (SNI) credited to the Lake McConaughy EA during </w:t>
      </w:r>
      <w:r w:rsidR="002762A7">
        <w:rPr>
          <w:szCs w:val="24"/>
        </w:rPr>
        <w:t>the non-irrigation season months of January-April 2018 and October-December 2018</w:t>
      </w:r>
      <w:r w:rsidR="002F4A77" w:rsidRPr="00C21870">
        <w:rPr>
          <w:szCs w:val="24"/>
        </w:rPr>
        <w:t>;</w:t>
      </w:r>
      <w:r>
        <w:rPr>
          <w:szCs w:val="24"/>
        </w:rPr>
        <w:t xml:space="preserve"> and </w:t>
      </w:r>
    </w:p>
    <w:p w14:paraId="05C68B02" w14:textId="6AE0CC87" w:rsidR="00C21870" w:rsidRDefault="00C21870" w:rsidP="00B9798C">
      <w:pPr>
        <w:pStyle w:val="ListParagraph"/>
        <w:numPr>
          <w:ilvl w:val="0"/>
          <w:numId w:val="7"/>
        </w:numPr>
        <w:spacing w:before="120" w:after="240"/>
        <w:rPr>
          <w:szCs w:val="24"/>
        </w:rPr>
      </w:pPr>
      <w:r>
        <w:rPr>
          <w:szCs w:val="24"/>
        </w:rPr>
        <w:t>W</w:t>
      </w:r>
      <w:r w:rsidR="00135884">
        <w:rPr>
          <w:szCs w:val="24"/>
        </w:rPr>
        <w:t xml:space="preserve">ater credited to the Lake McConaughy EA </w:t>
      </w:r>
      <w:r w:rsidR="002762A7">
        <w:rPr>
          <w:szCs w:val="24"/>
        </w:rPr>
        <w:t xml:space="preserve">in September-October 2018, </w:t>
      </w:r>
      <w:r w:rsidR="00135884">
        <w:rPr>
          <w:szCs w:val="24"/>
        </w:rPr>
        <w:t>after the end of the irrigation season.</w:t>
      </w:r>
    </w:p>
    <w:p w14:paraId="4FC55FD3" w14:textId="3574CEF3" w:rsidR="006A3023" w:rsidRPr="00C21870" w:rsidRDefault="00135884" w:rsidP="00C21870">
      <w:pPr>
        <w:spacing w:before="120" w:after="240"/>
        <w:rPr>
          <w:szCs w:val="24"/>
        </w:rPr>
      </w:pPr>
      <w:r w:rsidRPr="00C21870">
        <w:rPr>
          <w:szCs w:val="24"/>
        </w:rPr>
        <w:t xml:space="preserve">This memo also includes </w:t>
      </w:r>
      <w:r w:rsidR="00DF6A0D" w:rsidRPr="00C21870">
        <w:rPr>
          <w:szCs w:val="24"/>
        </w:rPr>
        <w:t>a cumulative accounting of Program water returns to the Platte River</w:t>
      </w:r>
      <w:r w:rsidR="00465CA2">
        <w:rPr>
          <w:szCs w:val="24"/>
        </w:rPr>
        <w:t xml:space="preserve"> </w:t>
      </w:r>
      <w:r w:rsidR="00DF6A0D" w:rsidRPr="00C21870">
        <w:rPr>
          <w:szCs w:val="24"/>
        </w:rPr>
        <w:t>and credits for reductions of target flow shortages at Grand Island</w:t>
      </w:r>
      <w:r w:rsidR="00465CA2">
        <w:rPr>
          <w:szCs w:val="24"/>
        </w:rPr>
        <w:t xml:space="preserve"> for the period 2007-2018</w:t>
      </w:r>
      <w:r w:rsidR="00DF6A0D" w:rsidRPr="00C21870">
        <w:rPr>
          <w:szCs w:val="24"/>
        </w:rPr>
        <w:t>.</w:t>
      </w:r>
      <w:r w:rsidR="00BF54FF">
        <w:rPr>
          <w:szCs w:val="24"/>
        </w:rPr>
        <w:t xml:space="preserve">  Although some Program water projects—specifically diversion operations and associated permits for groundwater recharge—tend to straddle calendar years during the non-irrigation season, the EDO has </w:t>
      </w:r>
      <w:r w:rsidR="00D4307C">
        <w:rPr>
          <w:szCs w:val="24"/>
        </w:rPr>
        <w:t>synced</w:t>
      </w:r>
      <w:r w:rsidR="00BF54FF">
        <w:rPr>
          <w:szCs w:val="24"/>
        </w:rPr>
        <w:t xml:space="preserve"> all water project accounting to a calendar year basis.  Thus, as </w:t>
      </w:r>
      <w:r w:rsidR="00BF54FF">
        <w:rPr>
          <w:szCs w:val="24"/>
        </w:rPr>
        <w:lastRenderedPageBreak/>
        <w:t>indicated above, this memo documents recharge diversions and accruals to the Lake McConaughy EA during calendar year 2018</w:t>
      </w:r>
      <w:r w:rsidR="005D362C">
        <w:rPr>
          <w:szCs w:val="24"/>
        </w:rPr>
        <w:t>, even if winter/spring and fall diversions were administered under different permits</w:t>
      </w:r>
      <w:r w:rsidR="00BF54FF">
        <w:rPr>
          <w:szCs w:val="24"/>
        </w:rPr>
        <w:t>.  To the extent possible, accretions from groundwater recharge were estimated through the end of 2018.</w:t>
      </w:r>
      <w:r w:rsidR="00B60BAA">
        <w:rPr>
          <w:szCs w:val="24"/>
        </w:rPr>
        <w:t xml:space="preserve">  </w:t>
      </w:r>
      <w:r w:rsidR="00DF6A0D" w:rsidRPr="00C21870">
        <w:rPr>
          <w:szCs w:val="24"/>
        </w:rPr>
        <w:t xml:space="preserve">  </w:t>
      </w:r>
    </w:p>
    <w:p w14:paraId="12C30820" w14:textId="2535829B" w:rsidR="00197703" w:rsidRDefault="00DF6A0D" w:rsidP="00AB501B">
      <w:pPr>
        <w:pStyle w:val="ListParagraph"/>
        <w:spacing w:before="120" w:after="240"/>
        <w:ind w:left="0"/>
        <w:rPr>
          <w:szCs w:val="24"/>
        </w:rPr>
      </w:pPr>
      <w:r>
        <w:rPr>
          <w:szCs w:val="24"/>
        </w:rPr>
        <w:t xml:space="preserve">The </w:t>
      </w:r>
      <w:r w:rsidR="00B8383F">
        <w:rPr>
          <w:szCs w:val="24"/>
        </w:rPr>
        <w:t>a</w:t>
      </w:r>
      <w:r>
        <w:rPr>
          <w:szCs w:val="24"/>
        </w:rPr>
        <w:t xml:space="preserve">ppendices to this memo </w:t>
      </w:r>
      <w:r w:rsidR="005F62EB">
        <w:rPr>
          <w:szCs w:val="24"/>
        </w:rPr>
        <w:t>consist of</w:t>
      </w:r>
      <w:r>
        <w:rPr>
          <w:szCs w:val="24"/>
        </w:rPr>
        <w:t xml:space="preserve"> extensive supporting documentation, including Water Service Agreements (WSAs) or lease agreements between the Program and other entities, permits issued by the Nebraska Department of Natural Resources (NDNR) for diversions from the Platte River, and </w:t>
      </w:r>
      <w:r w:rsidR="0044132E">
        <w:rPr>
          <w:szCs w:val="24"/>
        </w:rPr>
        <w:t>invoices for water paid by the Program.</w:t>
      </w:r>
      <w:r w:rsidR="00BF54FF">
        <w:rPr>
          <w:szCs w:val="24"/>
        </w:rPr>
        <w:t xml:space="preserve">  </w:t>
      </w:r>
      <w:r w:rsidR="00DD3E9C">
        <w:rPr>
          <w:szCs w:val="24"/>
        </w:rPr>
        <w:t xml:space="preserve">As the Program does not own the infrastructure used for </w:t>
      </w:r>
      <w:r w:rsidR="000A1901">
        <w:rPr>
          <w:szCs w:val="24"/>
        </w:rPr>
        <w:t xml:space="preserve">existing </w:t>
      </w:r>
      <w:r w:rsidR="00DD3E9C">
        <w:rPr>
          <w:szCs w:val="24"/>
        </w:rPr>
        <w:t xml:space="preserve">recharge projects, nor does it have the appropriate legal standing, it is the responsibility of the </w:t>
      </w:r>
      <w:r w:rsidR="00460141">
        <w:rPr>
          <w:szCs w:val="24"/>
        </w:rPr>
        <w:t>districts with which the Program has partnered (CNPPID, CPNRD, and NPPD) to apply for and secure the necessary permits from the NDNR</w:t>
      </w:r>
      <w:r w:rsidR="00945A9B">
        <w:rPr>
          <w:szCs w:val="24"/>
        </w:rPr>
        <w:t xml:space="preserve"> to divert excess flows</w:t>
      </w:r>
      <w:r w:rsidR="00460141">
        <w:rPr>
          <w:szCs w:val="24"/>
        </w:rPr>
        <w:t xml:space="preserve">.  </w:t>
      </w:r>
      <w:r w:rsidR="00BF54FF">
        <w:rPr>
          <w:szCs w:val="24"/>
        </w:rPr>
        <w:t xml:space="preserve">For </w:t>
      </w:r>
      <w:r w:rsidR="00945A9B">
        <w:rPr>
          <w:szCs w:val="24"/>
        </w:rPr>
        <w:t>several</w:t>
      </w:r>
      <w:r w:rsidR="00BF54FF">
        <w:rPr>
          <w:szCs w:val="24"/>
        </w:rPr>
        <w:t xml:space="preserve"> recharge projects, </w:t>
      </w:r>
      <w:r w:rsidR="00B60BAA">
        <w:rPr>
          <w:szCs w:val="24"/>
        </w:rPr>
        <w:t>diversions early in the year and diversions later in the year are covered under separate permits</w:t>
      </w:r>
      <w:r w:rsidR="00AC4E5F">
        <w:rPr>
          <w:rStyle w:val="FootnoteReference"/>
          <w:szCs w:val="24"/>
        </w:rPr>
        <w:footnoteReference w:id="7"/>
      </w:r>
      <w:r w:rsidR="00460141">
        <w:rPr>
          <w:szCs w:val="24"/>
        </w:rPr>
        <w:t>,</w:t>
      </w:r>
      <w:r w:rsidR="00B60BAA">
        <w:rPr>
          <w:szCs w:val="24"/>
        </w:rPr>
        <w:t xml:space="preserve"> but at this point all WSAs and lease agreements have been extended through the end of the First Increment on December 31, 2019.</w:t>
      </w:r>
      <w:r w:rsidR="0044132E">
        <w:rPr>
          <w:szCs w:val="24"/>
        </w:rPr>
        <w:t xml:space="preserve">  </w:t>
      </w:r>
    </w:p>
    <w:p w14:paraId="1C8D1E94" w14:textId="6E2098D4" w:rsidR="00197703" w:rsidRDefault="00C7409A" w:rsidP="00AB501B">
      <w:pPr>
        <w:pStyle w:val="ListParagraph"/>
        <w:spacing w:before="120" w:after="240"/>
        <w:ind w:left="0"/>
        <w:rPr>
          <w:szCs w:val="24"/>
        </w:rPr>
      </w:pPr>
      <w:r>
        <w:rPr>
          <w:szCs w:val="24"/>
        </w:rPr>
        <w:t>This memo represents the first comprehensive reporting on the operations</w:t>
      </w:r>
      <w:r w:rsidR="00047EE0">
        <w:rPr>
          <w:szCs w:val="24"/>
        </w:rPr>
        <w:t xml:space="preserve"> and accounting</w:t>
      </w:r>
      <w:r>
        <w:rPr>
          <w:szCs w:val="24"/>
        </w:rPr>
        <w:t xml:space="preserve"> of Program water projects.  </w:t>
      </w:r>
      <w:r w:rsidR="00197703">
        <w:rPr>
          <w:szCs w:val="24"/>
        </w:rPr>
        <w:t xml:space="preserve">A stand-alone </w:t>
      </w:r>
      <w:r w:rsidR="007339B6">
        <w:rPr>
          <w:szCs w:val="24"/>
        </w:rPr>
        <w:t>Phelps County Canal Groundwater Recharge Project</w:t>
      </w:r>
      <w:r w:rsidR="00DE7668">
        <w:rPr>
          <w:szCs w:val="24"/>
        </w:rPr>
        <w:t xml:space="preserve"> </w:t>
      </w:r>
      <w:r w:rsidR="00197703">
        <w:rPr>
          <w:szCs w:val="24"/>
        </w:rPr>
        <w:t xml:space="preserve">report was prepared for </w:t>
      </w:r>
      <w:r w:rsidR="00DE7668">
        <w:rPr>
          <w:szCs w:val="24"/>
        </w:rPr>
        <w:t xml:space="preserve">each year of operation </w:t>
      </w:r>
      <w:r w:rsidR="007339B6">
        <w:rPr>
          <w:szCs w:val="24"/>
        </w:rPr>
        <w:t xml:space="preserve">from 2012-2013 </w:t>
      </w:r>
      <w:r w:rsidR="00DE7668">
        <w:rPr>
          <w:szCs w:val="24"/>
        </w:rPr>
        <w:t xml:space="preserve">through the 2016-2017 </w:t>
      </w:r>
      <w:r w:rsidR="00BF54FF">
        <w:rPr>
          <w:szCs w:val="24"/>
        </w:rPr>
        <w:t>non-irrigation</w:t>
      </w:r>
      <w:r w:rsidR="00DE7668">
        <w:rPr>
          <w:szCs w:val="24"/>
        </w:rPr>
        <w:t xml:space="preserve"> season.  The inclusion of the Phelps County Canal Groundwater Recharge Project in this memo replaces the pro</w:t>
      </w:r>
      <w:r w:rsidR="00110F30">
        <w:rPr>
          <w:szCs w:val="24"/>
        </w:rPr>
        <w:t>j</w:t>
      </w:r>
      <w:r w:rsidR="00DE7668">
        <w:rPr>
          <w:szCs w:val="24"/>
        </w:rPr>
        <w:t xml:space="preserve">ect-specific report beginning with </w:t>
      </w:r>
      <w:r w:rsidR="005D3CAC">
        <w:rPr>
          <w:szCs w:val="24"/>
        </w:rPr>
        <w:t>calendar year 2018</w:t>
      </w:r>
      <w:r w:rsidR="00DE7668">
        <w:rPr>
          <w:szCs w:val="24"/>
        </w:rPr>
        <w:t>.</w:t>
      </w:r>
      <w:r w:rsidR="005D3CAC">
        <w:rPr>
          <w:szCs w:val="24"/>
        </w:rPr>
        <w:t xml:space="preserve">  Accounting for Phelps</w:t>
      </w:r>
      <w:r w:rsidR="00110F30">
        <w:rPr>
          <w:szCs w:val="24"/>
        </w:rPr>
        <w:t xml:space="preserve"> presented herein</w:t>
      </w:r>
      <w:r w:rsidR="005D3CAC">
        <w:rPr>
          <w:szCs w:val="24"/>
        </w:rPr>
        <w:t xml:space="preserve"> also includes diversions made for recharge</w:t>
      </w:r>
      <w:r w:rsidR="00FB30EF">
        <w:rPr>
          <w:szCs w:val="24"/>
        </w:rPr>
        <w:t xml:space="preserve"> and Cook Well pumping</w:t>
      </w:r>
      <w:r w:rsidR="005D3CAC">
        <w:rPr>
          <w:szCs w:val="24"/>
        </w:rPr>
        <w:t xml:space="preserve"> in fall 2017, which were not captured in the 2016-2017 Phelps recharge report.</w:t>
      </w:r>
    </w:p>
    <w:p w14:paraId="00E51C82" w14:textId="3ED59A6C" w:rsidR="005D0F4D" w:rsidRDefault="004E0658" w:rsidP="00B9798C">
      <w:pPr>
        <w:pStyle w:val="ListParagraph"/>
        <w:numPr>
          <w:ilvl w:val="0"/>
          <w:numId w:val="2"/>
        </w:numPr>
        <w:spacing w:before="240" w:after="240"/>
        <w:ind w:left="360"/>
        <w:rPr>
          <w:b/>
        </w:rPr>
      </w:pPr>
      <w:r>
        <w:rPr>
          <w:b/>
        </w:rPr>
        <w:t>Accounting Process</w:t>
      </w:r>
    </w:p>
    <w:p w14:paraId="2E021501" w14:textId="4ED3A084" w:rsidR="004C6A32" w:rsidRDefault="002C20AF" w:rsidP="002C20AF">
      <w:pPr>
        <w:spacing w:before="120" w:after="240"/>
        <w:rPr>
          <w:szCs w:val="24"/>
        </w:rPr>
      </w:pPr>
      <w:r>
        <w:rPr>
          <w:szCs w:val="24"/>
        </w:rPr>
        <w:t>Excess flows are generally diverted</w:t>
      </w:r>
      <w:r w:rsidR="00AD4BAE">
        <w:rPr>
          <w:szCs w:val="24"/>
        </w:rPr>
        <w:t xml:space="preserve"> for recharge</w:t>
      </w:r>
      <w:r>
        <w:rPr>
          <w:szCs w:val="24"/>
        </w:rPr>
        <w:t xml:space="preserve"> during the non-irrigation seaso</w:t>
      </w:r>
      <w:r w:rsidR="00152E88">
        <w:rPr>
          <w:szCs w:val="24"/>
        </w:rPr>
        <w:t>n months</w:t>
      </w:r>
      <w:r w:rsidR="00AB5CD2">
        <w:rPr>
          <w:szCs w:val="24"/>
        </w:rPr>
        <w:t xml:space="preserve"> between September and April</w:t>
      </w:r>
      <w:r>
        <w:rPr>
          <w:szCs w:val="24"/>
        </w:rPr>
        <w:t xml:space="preserve">, when the canal systems are not in use for the delivery of water to irrigators for crop production.  This water seeps into the underlying </w:t>
      </w:r>
      <w:r w:rsidR="00B860AA">
        <w:rPr>
          <w:szCs w:val="24"/>
        </w:rPr>
        <w:t xml:space="preserve">alluvial </w:t>
      </w:r>
      <w:r>
        <w:rPr>
          <w:szCs w:val="24"/>
        </w:rPr>
        <w:t xml:space="preserve">groundwater aquifers and migrates back towards the Platte River over time, eventually emerging as baseflow accretions.  </w:t>
      </w:r>
      <w:r w:rsidR="00454646">
        <w:rPr>
          <w:szCs w:val="24"/>
        </w:rPr>
        <w:t>Unit response functions from numerical g</w:t>
      </w:r>
      <w:r w:rsidR="008270FF">
        <w:rPr>
          <w:szCs w:val="24"/>
        </w:rPr>
        <w:t xml:space="preserve">roundwater models are </w:t>
      </w:r>
      <w:r w:rsidR="00454646">
        <w:rPr>
          <w:szCs w:val="24"/>
        </w:rPr>
        <w:t xml:space="preserve">used </w:t>
      </w:r>
      <w:r w:rsidR="008270FF">
        <w:rPr>
          <w:szCs w:val="24"/>
        </w:rPr>
        <w:t xml:space="preserve">to calculate the timing and volume of these return flows.  Currently, the Program has </w:t>
      </w:r>
      <w:r w:rsidR="00454646">
        <w:rPr>
          <w:szCs w:val="24"/>
        </w:rPr>
        <w:t>developed these response functions</w:t>
      </w:r>
      <w:r w:rsidR="008270FF">
        <w:rPr>
          <w:szCs w:val="24"/>
        </w:rPr>
        <w:t xml:space="preserve"> for the Phelps County Canal and Elwood Reservoir groundwater recharge projects</w:t>
      </w:r>
      <w:r w:rsidR="00454646">
        <w:rPr>
          <w:szCs w:val="24"/>
        </w:rPr>
        <w:t xml:space="preserve"> and is in the process of developing them for</w:t>
      </w:r>
      <w:r w:rsidR="008270FF">
        <w:rPr>
          <w:szCs w:val="24"/>
        </w:rPr>
        <w:t xml:space="preserve"> the CPNRD and NPPD canal recharge projects</w:t>
      </w:r>
      <w:r w:rsidR="00454646">
        <w:rPr>
          <w:szCs w:val="24"/>
        </w:rPr>
        <w:t>;</w:t>
      </w:r>
      <w:r w:rsidR="008270FF">
        <w:rPr>
          <w:szCs w:val="24"/>
        </w:rPr>
        <w:t xml:space="preserve"> </w:t>
      </w:r>
      <w:r w:rsidR="00454646">
        <w:rPr>
          <w:szCs w:val="24"/>
        </w:rPr>
        <w:t>this work</w:t>
      </w:r>
      <w:r w:rsidR="008270FF">
        <w:rPr>
          <w:szCs w:val="24"/>
        </w:rPr>
        <w:t xml:space="preserve"> will be completed in coordination with those districts and the NDNR in time for the next iteration of this memo.  </w:t>
      </w:r>
    </w:p>
    <w:p w14:paraId="4DFF717D" w14:textId="1696E2D7" w:rsidR="002C20AF" w:rsidRPr="002C20AF" w:rsidRDefault="008270FF" w:rsidP="002C20AF">
      <w:pPr>
        <w:spacing w:before="120" w:after="240"/>
        <w:rPr>
          <w:szCs w:val="24"/>
        </w:rPr>
      </w:pPr>
      <w:r>
        <w:rPr>
          <w:szCs w:val="24"/>
        </w:rPr>
        <w:t xml:space="preserve">Once the timing and volume of return flows </w:t>
      </w:r>
      <w:r w:rsidR="004C6A32">
        <w:rPr>
          <w:szCs w:val="24"/>
        </w:rPr>
        <w:t>from intentional groundwater recharge are calculated, the EDO routes this water from the point</w:t>
      </w:r>
      <w:r w:rsidR="00C2448D">
        <w:rPr>
          <w:szCs w:val="24"/>
        </w:rPr>
        <w:t xml:space="preserve"> or reach</w:t>
      </w:r>
      <w:r w:rsidR="004C6A32">
        <w:rPr>
          <w:szCs w:val="24"/>
        </w:rPr>
        <w:t xml:space="preserve"> of entry to the river to Grand Island using transit loss factors developed using the </w:t>
      </w:r>
      <w:r w:rsidR="00AC1A80">
        <w:rPr>
          <w:szCs w:val="24"/>
        </w:rPr>
        <w:t>Water M</w:t>
      </w:r>
      <w:r w:rsidR="00AE6223">
        <w:rPr>
          <w:szCs w:val="24"/>
        </w:rPr>
        <w:t>anagement Committee (</w:t>
      </w:r>
      <w:r w:rsidR="004C6A32">
        <w:rPr>
          <w:szCs w:val="24"/>
        </w:rPr>
        <w:t>WMC</w:t>
      </w:r>
      <w:r w:rsidR="00AE6223">
        <w:rPr>
          <w:szCs w:val="24"/>
        </w:rPr>
        <w:t>)</w:t>
      </w:r>
      <w:r w:rsidR="004C6A32">
        <w:rPr>
          <w:szCs w:val="24"/>
        </w:rPr>
        <w:t xml:space="preserve"> Loss </w:t>
      </w:r>
      <w:r w:rsidR="004C6A32">
        <w:rPr>
          <w:szCs w:val="24"/>
        </w:rPr>
        <w:lastRenderedPageBreak/>
        <w:t>Model</w:t>
      </w:r>
      <w:r w:rsidR="00AE6223">
        <w:rPr>
          <w:rStyle w:val="FootnoteReference"/>
          <w:szCs w:val="24"/>
        </w:rPr>
        <w:footnoteReference w:id="8"/>
      </w:r>
      <w:r w:rsidR="003305B1">
        <w:rPr>
          <w:szCs w:val="24"/>
        </w:rPr>
        <w:t>, an approach consistent with that used for WAP project scoring</w:t>
      </w:r>
      <w:r w:rsidR="004C6A32">
        <w:rPr>
          <w:szCs w:val="24"/>
        </w:rPr>
        <w:t>.</w:t>
      </w:r>
      <w:r w:rsidR="00AE6223">
        <w:rPr>
          <w:szCs w:val="24"/>
        </w:rPr>
        <w:t xml:space="preserve">  </w:t>
      </w:r>
      <w:r w:rsidR="004C6A32">
        <w:rPr>
          <w:szCs w:val="24"/>
        </w:rPr>
        <w:t>Routing loss volumes are a product of</w:t>
      </w:r>
      <w:r w:rsidR="00375F7D">
        <w:rPr>
          <w:szCs w:val="24"/>
        </w:rPr>
        <w:t xml:space="preserve"> the real-time hydrologic condition (as evaluated by the ED</w:t>
      </w:r>
      <w:r w:rsidR="00C62D83">
        <w:rPr>
          <w:szCs w:val="24"/>
        </w:rPr>
        <w:t>O</w:t>
      </w:r>
      <w:r w:rsidR="00C2448D">
        <w:rPr>
          <w:szCs w:val="24"/>
        </w:rPr>
        <w:t xml:space="preserve"> using methods developed by the USFWS</w:t>
      </w:r>
      <w:r w:rsidR="00375F7D">
        <w:rPr>
          <w:szCs w:val="24"/>
        </w:rPr>
        <w:t xml:space="preserve">), </w:t>
      </w:r>
      <w:r w:rsidR="004C6A32">
        <w:rPr>
          <w:szCs w:val="24"/>
        </w:rPr>
        <w:t>the percentage loss rates from the WMC Loss Model</w:t>
      </w:r>
      <w:r w:rsidR="00375F7D">
        <w:rPr>
          <w:szCs w:val="24"/>
        </w:rPr>
        <w:t>,</w:t>
      </w:r>
      <w:r w:rsidR="002C20AF">
        <w:rPr>
          <w:szCs w:val="24"/>
        </w:rPr>
        <w:t xml:space="preserve"> </w:t>
      </w:r>
      <w:r w:rsidR="004C6A32">
        <w:rPr>
          <w:szCs w:val="24"/>
        </w:rPr>
        <w:t>and the distance the water travels in the river to reach Grand Island.</w:t>
      </w:r>
      <w:r w:rsidR="00375F7D">
        <w:rPr>
          <w:szCs w:val="24"/>
        </w:rPr>
        <w:t xml:space="preserve">  </w:t>
      </w:r>
      <w:r w:rsidR="00497806">
        <w:rPr>
          <w:szCs w:val="24"/>
        </w:rPr>
        <w:t>After the volume reaching Grand Island is calculated, it is checked against flow records to estimate the amount to be credited as shortage reductions at times when streamflows are below target flows.</w:t>
      </w:r>
      <w:r w:rsidR="00AD4BAE">
        <w:rPr>
          <w:szCs w:val="24"/>
        </w:rPr>
        <w:t xml:space="preserve">  </w:t>
      </w:r>
    </w:p>
    <w:p w14:paraId="148DA6DA" w14:textId="64A56A08" w:rsidR="00C67FB6" w:rsidRDefault="00BF50E2" w:rsidP="00AB501B">
      <w:pPr>
        <w:pStyle w:val="ListParagraph"/>
        <w:spacing w:before="120" w:after="240"/>
        <w:ind w:left="0"/>
        <w:rPr>
          <w:szCs w:val="24"/>
        </w:rPr>
      </w:pPr>
      <w:r>
        <w:rPr>
          <w:szCs w:val="24"/>
        </w:rPr>
        <w:t xml:space="preserve">Program water leasing projects primarily </w:t>
      </w:r>
      <w:r w:rsidR="00BD237F">
        <w:rPr>
          <w:szCs w:val="24"/>
        </w:rPr>
        <w:t xml:space="preserve">rely on </w:t>
      </w:r>
      <w:r>
        <w:rPr>
          <w:szCs w:val="24"/>
        </w:rPr>
        <w:t>surface water</w:t>
      </w:r>
      <w:r w:rsidR="006B7EBF">
        <w:rPr>
          <w:szCs w:val="24"/>
        </w:rPr>
        <w:t xml:space="preserve"> sources</w:t>
      </w:r>
      <w:r w:rsidR="00BD237F">
        <w:rPr>
          <w:szCs w:val="24"/>
        </w:rPr>
        <w:t>,</w:t>
      </w:r>
      <w:r w:rsidR="003650DB">
        <w:rPr>
          <w:szCs w:val="24"/>
        </w:rPr>
        <w:t xml:space="preserve"> with the objective of accumulating controllable water supplies in the Lake McConaughy EA.</w:t>
      </w:r>
      <w:r w:rsidR="00143E7D">
        <w:rPr>
          <w:szCs w:val="24"/>
        </w:rPr>
        <w:t xml:space="preserve">  There are presently six</w:t>
      </w:r>
      <w:r w:rsidR="00DD5778">
        <w:rPr>
          <w:szCs w:val="24"/>
        </w:rPr>
        <w:t xml:space="preserve"> individual projects or surface</w:t>
      </w:r>
      <w:r w:rsidR="00D549EB">
        <w:rPr>
          <w:szCs w:val="24"/>
        </w:rPr>
        <w:t xml:space="preserve"> </w:t>
      </w:r>
      <w:r w:rsidR="00DD5778">
        <w:rPr>
          <w:szCs w:val="24"/>
        </w:rPr>
        <w:t xml:space="preserve">water sources contributing to the Lake McConaughy EA, each discussed in Section </w:t>
      </w:r>
      <w:r w:rsidR="00D35C77">
        <w:rPr>
          <w:szCs w:val="24"/>
        </w:rPr>
        <w:t xml:space="preserve">IV </w:t>
      </w:r>
      <w:r w:rsidR="00DD5778">
        <w:rPr>
          <w:szCs w:val="24"/>
        </w:rPr>
        <w:t xml:space="preserve">below.  However, once credited to the Lake McConaughy EA, the water becomes one </w:t>
      </w:r>
      <w:r w:rsidR="00BD7EDE">
        <w:rPr>
          <w:szCs w:val="24"/>
        </w:rPr>
        <w:t>indistinguishable</w:t>
      </w:r>
      <w:r w:rsidR="00DD5778">
        <w:rPr>
          <w:szCs w:val="24"/>
        </w:rPr>
        <w:t xml:space="preserve"> supply</w:t>
      </w:r>
      <w:r w:rsidR="00143E7D">
        <w:rPr>
          <w:szCs w:val="24"/>
        </w:rPr>
        <w:t xml:space="preserve"> </w:t>
      </w:r>
      <w:r w:rsidR="00D549EB">
        <w:rPr>
          <w:szCs w:val="24"/>
        </w:rPr>
        <w:t>that</w:t>
      </w:r>
      <w:r w:rsidR="00DD5778">
        <w:rPr>
          <w:szCs w:val="24"/>
        </w:rPr>
        <w:t xml:space="preserve"> is released at the discretion of the USFWS to meet specific downstream water needs.</w:t>
      </w:r>
      <w:r w:rsidR="008533B3">
        <w:rPr>
          <w:szCs w:val="24"/>
        </w:rPr>
        <w:t xml:space="preserve">  </w:t>
      </w:r>
      <w:r w:rsidR="00B60724">
        <w:rPr>
          <w:szCs w:val="24"/>
        </w:rPr>
        <w:t xml:space="preserve">Releases from the Lake McConaughy EA are routed from the Kingsley Dam to Grand Island </w:t>
      </w:r>
      <w:r w:rsidR="00D35C77">
        <w:rPr>
          <w:szCs w:val="24"/>
        </w:rPr>
        <w:t>based on Platte Water Accounting Program (PWAP) results generated and provided by the NDNR</w:t>
      </w:r>
      <w:r w:rsidR="00B60724">
        <w:rPr>
          <w:szCs w:val="24"/>
        </w:rPr>
        <w:t>, then compared against shortages at Grand Island to estimate the amount of operational shortage reduction credit.</w:t>
      </w:r>
    </w:p>
    <w:p w14:paraId="350D4837" w14:textId="51171AF4" w:rsidR="00223FA5" w:rsidRDefault="00223FA5" w:rsidP="00223FA5">
      <w:pPr>
        <w:pStyle w:val="ListParagraph"/>
        <w:numPr>
          <w:ilvl w:val="0"/>
          <w:numId w:val="2"/>
        </w:numPr>
        <w:spacing w:before="240" w:after="240"/>
        <w:ind w:left="360"/>
        <w:rPr>
          <w:b/>
        </w:rPr>
      </w:pPr>
      <w:r>
        <w:rPr>
          <w:b/>
        </w:rPr>
        <w:t>Operations Accounting vs Project Scoring</w:t>
      </w:r>
    </w:p>
    <w:p w14:paraId="2038DC0D" w14:textId="09A2EA71" w:rsidR="007965D4" w:rsidRDefault="00AA1070" w:rsidP="00AB501B">
      <w:pPr>
        <w:pStyle w:val="ListParagraph"/>
        <w:spacing w:before="120" w:after="240"/>
        <w:ind w:left="0"/>
        <w:rPr>
          <w:szCs w:val="24"/>
        </w:rPr>
      </w:pPr>
      <w:r>
        <w:rPr>
          <w:szCs w:val="24"/>
        </w:rPr>
        <w:t xml:space="preserve">It is critical to remember that </w:t>
      </w:r>
      <w:r w:rsidR="00DB4315">
        <w:rPr>
          <w:szCs w:val="24"/>
        </w:rPr>
        <w:t xml:space="preserve">the </w:t>
      </w:r>
      <w:r>
        <w:rPr>
          <w:szCs w:val="24"/>
        </w:rPr>
        <w:t xml:space="preserve">process of operations accounting for Program water projects is not the same as project scoring.  </w:t>
      </w:r>
      <w:r w:rsidR="007965D4">
        <w:rPr>
          <w:szCs w:val="24"/>
        </w:rPr>
        <w:t xml:space="preserve">Accounting is an analysis of what actually happened during real-time project operations (inputs, outputs, water reaching Grand Island, etc.).  Scoring is an analysis for planning purposes to estimate the capacity of a Program water project to reduce deficits to USFWS target flows at Grand Island.  </w:t>
      </w:r>
      <w:r w:rsidR="003D1E4B">
        <w:rPr>
          <w:szCs w:val="24"/>
        </w:rPr>
        <w:t xml:space="preserve">As a result of inherent </w:t>
      </w:r>
      <w:r w:rsidR="000B2C7F">
        <w:rPr>
          <w:szCs w:val="24"/>
        </w:rPr>
        <w:t>differences between the analytical approaches, o</w:t>
      </w:r>
      <w:r w:rsidR="003D1E4B">
        <w:rPr>
          <w:szCs w:val="24"/>
        </w:rPr>
        <w:t>perational yields or shortage credits should not be expected to match approved project scores.</w:t>
      </w:r>
      <w:r w:rsidR="000B2C7F">
        <w:rPr>
          <w:szCs w:val="24"/>
        </w:rPr>
        <w:t xml:space="preserve">  </w:t>
      </w:r>
    </w:p>
    <w:p w14:paraId="3846AD3D" w14:textId="57D260D7" w:rsidR="00862F07" w:rsidRDefault="00AA1070" w:rsidP="00AB501B">
      <w:pPr>
        <w:pStyle w:val="ListParagraph"/>
        <w:spacing w:before="120" w:after="240"/>
        <w:ind w:left="0"/>
        <w:rPr>
          <w:szCs w:val="24"/>
        </w:rPr>
      </w:pPr>
      <w:r>
        <w:rPr>
          <w:szCs w:val="24"/>
        </w:rPr>
        <w:t>Accounting relies on actual volumes of water leased or recharged</w:t>
      </w:r>
      <w:r w:rsidR="00D13031">
        <w:rPr>
          <w:szCs w:val="24"/>
        </w:rPr>
        <w:t>;</w:t>
      </w:r>
      <w:r>
        <w:rPr>
          <w:szCs w:val="24"/>
        </w:rPr>
        <w:t xml:space="preserve"> </w:t>
      </w:r>
      <w:r w:rsidR="00D13031">
        <w:rPr>
          <w:szCs w:val="24"/>
        </w:rPr>
        <w:t xml:space="preserve">real-time </w:t>
      </w:r>
      <w:r>
        <w:rPr>
          <w:szCs w:val="24"/>
        </w:rPr>
        <w:t>gaged streamflows as recorded at Grand Island</w:t>
      </w:r>
      <w:r w:rsidR="00D13031">
        <w:rPr>
          <w:szCs w:val="24"/>
        </w:rPr>
        <w:t xml:space="preserve"> since the start of the First Increment (or whenever project operations subsequently began);</w:t>
      </w:r>
      <w:r>
        <w:rPr>
          <w:szCs w:val="24"/>
        </w:rPr>
        <w:t xml:space="preserve"> and real-time hydrologic condition, which can vary throughout the calendar year based on near-term flow and climate conditions.  In contrast, project scoring is based on assumed project operations</w:t>
      </w:r>
      <w:r w:rsidR="00D13031">
        <w:rPr>
          <w:szCs w:val="24"/>
        </w:rPr>
        <w:t>;</w:t>
      </w:r>
      <w:r>
        <w:rPr>
          <w:szCs w:val="24"/>
        </w:rPr>
        <w:t xml:space="preserve"> </w:t>
      </w:r>
      <w:r w:rsidR="00D13031">
        <w:rPr>
          <w:szCs w:val="24"/>
        </w:rPr>
        <w:t xml:space="preserve">OPSTUDY </w:t>
      </w:r>
      <w:r>
        <w:rPr>
          <w:szCs w:val="24"/>
        </w:rPr>
        <w:t>modeled streamflow for the 1947-1994 period</w:t>
      </w:r>
      <w:r w:rsidR="00D13031">
        <w:rPr>
          <w:szCs w:val="24"/>
        </w:rPr>
        <w:t>;</w:t>
      </w:r>
      <w:r>
        <w:rPr>
          <w:szCs w:val="24"/>
        </w:rPr>
        <w:t xml:space="preserve"> and an annual hydrologic condition based on </w:t>
      </w:r>
      <w:r w:rsidR="00D13031">
        <w:rPr>
          <w:szCs w:val="24"/>
        </w:rPr>
        <w:t>the total modeled streamflow</w:t>
      </w:r>
      <w:r>
        <w:rPr>
          <w:szCs w:val="24"/>
        </w:rPr>
        <w:t xml:space="preserve"> </w:t>
      </w:r>
      <w:r w:rsidR="00D13031">
        <w:rPr>
          <w:szCs w:val="24"/>
        </w:rPr>
        <w:t>for the calendar year at Grand Island.</w:t>
      </w:r>
      <w:r w:rsidR="00862F07">
        <w:rPr>
          <w:szCs w:val="24"/>
        </w:rPr>
        <w:t xml:space="preserve">  </w:t>
      </w:r>
      <w:r w:rsidR="000E2D45">
        <w:rPr>
          <w:szCs w:val="24"/>
        </w:rPr>
        <w:t>In addition, project scores are often negotiated values based on analysis of several potential operational scenarios</w:t>
      </w:r>
      <w:r w:rsidR="00DB4315">
        <w:rPr>
          <w:szCs w:val="24"/>
        </w:rPr>
        <w:t xml:space="preserve"> developed by the EDO in coordination with the Program’s Scoring Subcommittee</w:t>
      </w:r>
      <w:r w:rsidR="000E2D45">
        <w:rPr>
          <w:szCs w:val="24"/>
        </w:rPr>
        <w:t>.</w:t>
      </w:r>
      <w:r w:rsidR="00862F07">
        <w:rPr>
          <w:szCs w:val="24"/>
        </w:rPr>
        <w:t xml:space="preserve">  </w:t>
      </w:r>
      <w:r w:rsidR="00862F07" w:rsidRPr="003848EE">
        <w:rPr>
          <w:b/>
          <w:szCs w:val="24"/>
        </w:rPr>
        <w:t>Table 2</w:t>
      </w:r>
      <w:r w:rsidR="00862F07">
        <w:rPr>
          <w:szCs w:val="24"/>
        </w:rPr>
        <w:t xml:space="preserve"> shows approved or recommended for the state water projects and several WAP projects; </w:t>
      </w:r>
      <w:r w:rsidR="00601CE3">
        <w:rPr>
          <w:szCs w:val="24"/>
        </w:rPr>
        <w:t xml:space="preserve">several other </w:t>
      </w:r>
      <w:r w:rsidR="00862F07">
        <w:rPr>
          <w:szCs w:val="24"/>
        </w:rPr>
        <w:t>active WAP projects not shown in the table have not yet been scored.</w:t>
      </w:r>
    </w:p>
    <w:p w14:paraId="49549870" w14:textId="77777777" w:rsidR="008454DA" w:rsidRDefault="008454DA" w:rsidP="00EE15EA">
      <w:pPr>
        <w:pStyle w:val="ListParagraph"/>
        <w:spacing w:before="120"/>
        <w:ind w:left="0"/>
        <w:rPr>
          <w:b/>
          <w:szCs w:val="24"/>
        </w:rPr>
      </w:pPr>
    </w:p>
    <w:p w14:paraId="435E11C6" w14:textId="4A08A952" w:rsidR="00862F07" w:rsidRPr="00EE15EA" w:rsidRDefault="00862F07" w:rsidP="00EE15EA">
      <w:pPr>
        <w:pStyle w:val="ListParagraph"/>
        <w:spacing w:before="120"/>
        <w:ind w:left="0"/>
        <w:rPr>
          <w:b/>
          <w:szCs w:val="24"/>
        </w:rPr>
      </w:pPr>
      <w:r w:rsidRPr="00EE15EA">
        <w:rPr>
          <w:b/>
          <w:szCs w:val="24"/>
        </w:rPr>
        <w:lastRenderedPageBreak/>
        <w:t xml:space="preserve">Table 2. </w:t>
      </w:r>
      <w:r w:rsidR="00EE15EA" w:rsidRPr="00EE15EA">
        <w:rPr>
          <w:b/>
          <w:szCs w:val="24"/>
        </w:rPr>
        <w:t>Program Water Project Scores</w:t>
      </w:r>
    </w:p>
    <w:tbl>
      <w:tblPr>
        <w:tblStyle w:val="TableGrid"/>
        <w:tblW w:w="0" w:type="auto"/>
        <w:tblLook w:val="04A0" w:firstRow="1" w:lastRow="0" w:firstColumn="1" w:lastColumn="0" w:noHBand="0" w:noVBand="1"/>
      </w:tblPr>
      <w:tblGrid>
        <w:gridCol w:w="5665"/>
        <w:gridCol w:w="3685"/>
      </w:tblGrid>
      <w:tr w:rsidR="00862F07" w14:paraId="1E3016E1" w14:textId="77777777" w:rsidTr="00EE15EA">
        <w:tc>
          <w:tcPr>
            <w:tcW w:w="5665" w:type="dxa"/>
            <w:shd w:val="clear" w:color="auto" w:fill="C2D69B" w:themeFill="accent3" w:themeFillTint="99"/>
          </w:tcPr>
          <w:p w14:paraId="3D41BA54" w14:textId="53583B2C" w:rsidR="00862F07" w:rsidRPr="007E58DC" w:rsidRDefault="00862F07" w:rsidP="007E58DC">
            <w:pPr>
              <w:pStyle w:val="ListParagraph"/>
              <w:ind w:left="0"/>
              <w:jc w:val="center"/>
              <w:rPr>
                <w:b/>
                <w:szCs w:val="24"/>
              </w:rPr>
            </w:pPr>
            <w:r w:rsidRPr="007E58DC">
              <w:rPr>
                <w:b/>
                <w:szCs w:val="24"/>
              </w:rPr>
              <w:t>Project</w:t>
            </w:r>
          </w:p>
        </w:tc>
        <w:tc>
          <w:tcPr>
            <w:tcW w:w="3685" w:type="dxa"/>
            <w:shd w:val="clear" w:color="auto" w:fill="C2D69B" w:themeFill="accent3" w:themeFillTint="99"/>
          </w:tcPr>
          <w:p w14:paraId="1D95FDA3" w14:textId="62DC92EA" w:rsidR="00862F07" w:rsidRPr="007E58DC" w:rsidRDefault="00862F07" w:rsidP="007E58DC">
            <w:pPr>
              <w:pStyle w:val="ListParagraph"/>
              <w:ind w:left="0"/>
              <w:jc w:val="center"/>
              <w:rPr>
                <w:b/>
                <w:szCs w:val="24"/>
              </w:rPr>
            </w:pPr>
            <w:r w:rsidRPr="007E58DC">
              <w:rPr>
                <w:b/>
                <w:szCs w:val="24"/>
              </w:rPr>
              <w:t>Score</w:t>
            </w:r>
            <w:r w:rsidR="00EE15EA" w:rsidRPr="007E58DC">
              <w:rPr>
                <w:b/>
                <w:szCs w:val="24"/>
              </w:rPr>
              <w:t xml:space="preserve"> [AF]</w:t>
            </w:r>
          </w:p>
        </w:tc>
      </w:tr>
      <w:tr w:rsidR="00EE15EA" w14:paraId="0209D7C0" w14:textId="77777777" w:rsidTr="00EE15EA">
        <w:tc>
          <w:tcPr>
            <w:tcW w:w="9350" w:type="dxa"/>
            <w:gridSpan w:val="2"/>
            <w:shd w:val="clear" w:color="auto" w:fill="BFBFBF" w:themeFill="background1" w:themeFillShade="BF"/>
          </w:tcPr>
          <w:p w14:paraId="012BA29B" w14:textId="7BA4E69E" w:rsidR="00EE15EA" w:rsidRPr="007E58DC" w:rsidRDefault="00EE15EA" w:rsidP="00862F07">
            <w:pPr>
              <w:pStyle w:val="ListParagraph"/>
              <w:ind w:left="0"/>
              <w:rPr>
                <w:b/>
                <w:szCs w:val="24"/>
              </w:rPr>
            </w:pPr>
            <w:r w:rsidRPr="007E58DC">
              <w:rPr>
                <w:b/>
                <w:szCs w:val="24"/>
              </w:rPr>
              <w:t>State Water Projects</w:t>
            </w:r>
          </w:p>
        </w:tc>
      </w:tr>
      <w:tr w:rsidR="00862F07" w14:paraId="5B560AE6" w14:textId="77777777" w:rsidTr="007E58DC">
        <w:tc>
          <w:tcPr>
            <w:tcW w:w="5665" w:type="dxa"/>
          </w:tcPr>
          <w:p w14:paraId="4EA68025" w14:textId="74B72AB4" w:rsidR="00862F07" w:rsidRDefault="00862F07" w:rsidP="00862F07">
            <w:pPr>
              <w:pStyle w:val="ListParagraph"/>
              <w:ind w:left="0"/>
              <w:rPr>
                <w:szCs w:val="24"/>
              </w:rPr>
            </w:pPr>
            <w:r>
              <w:rPr>
                <w:szCs w:val="24"/>
              </w:rPr>
              <w:t>Tamarack I</w:t>
            </w:r>
          </w:p>
        </w:tc>
        <w:tc>
          <w:tcPr>
            <w:tcW w:w="3685" w:type="dxa"/>
            <w:vAlign w:val="center"/>
          </w:tcPr>
          <w:p w14:paraId="648EF4E6" w14:textId="5040B8B7" w:rsidR="00862F07" w:rsidRDefault="00EE15EA" w:rsidP="007E58DC">
            <w:pPr>
              <w:pStyle w:val="ListParagraph"/>
              <w:ind w:left="0"/>
              <w:jc w:val="center"/>
              <w:rPr>
                <w:szCs w:val="24"/>
              </w:rPr>
            </w:pPr>
            <w:r>
              <w:rPr>
                <w:szCs w:val="24"/>
              </w:rPr>
              <w:t>10,000</w:t>
            </w:r>
          </w:p>
        </w:tc>
      </w:tr>
      <w:tr w:rsidR="00EE15EA" w14:paraId="775ED8C4" w14:textId="77777777" w:rsidTr="007E58DC">
        <w:tc>
          <w:tcPr>
            <w:tcW w:w="5665" w:type="dxa"/>
          </w:tcPr>
          <w:p w14:paraId="0EECF040" w14:textId="73EFC2CB" w:rsidR="00EE15EA" w:rsidRDefault="00EE15EA" w:rsidP="00862F07">
            <w:pPr>
              <w:pStyle w:val="ListParagraph"/>
              <w:ind w:left="0"/>
              <w:rPr>
                <w:szCs w:val="24"/>
              </w:rPr>
            </w:pPr>
            <w:r>
              <w:rPr>
                <w:szCs w:val="24"/>
              </w:rPr>
              <w:t>Lake McConaughy EA</w:t>
            </w:r>
          </w:p>
        </w:tc>
        <w:tc>
          <w:tcPr>
            <w:tcW w:w="3685" w:type="dxa"/>
            <w:vMerge w:val="restart"/>
            <w:vAlign w:val="center"/>
          </w:tcPr>
          <w:p w14:paraId="32C980CC" w14:textId="1FC02853" w:rsidR="00EE15EA" w:rsidRDefault="00EE15EA" w:rsidP="007E58DC">
            <w:pPr>
              <w:pStyle w:val="ListParagraph"/>
              <w:ind w:left="0"/>
              <w:jc w:val="center"/>
              <w:rPr>
                <w:szCs w:val="24"/>
              </w:rPr>
            </w:pPr>
            <w:r>
              <w:rPr>
                <w:szCs w:val="24"/>
              </w:rPr>
              <w:t>70,000</w:t>
            </w:r>
          </w:p>
        </w:tc>
      </w:tr>
      <w:tr w:rsidR="00EE15EA" w14:paraId="63EAF626" w14:textId="77777777" w:rsidTr="00EE15EA">
        <w:tc>
          <w:tcPr>
            <w:tcW w:w="5665" w:type="dxa"/>
          </w:tcPr>
          <w:p w14:paraId="5EBEAF7D" w14:textId="563004FB" w:rsidR="00EE15EA" w:rsidRDefault="00EE15EA" w:rsidP="00862F07">
            <w:pPr>
              <w:pStyle w:val="ListParagraph"/>
              <w:ind w:left="0"/>
              <w:rPr>
                <w:szCs w:val="24"/>
              </w:rPr>
            </w:pPr>
            <w:r>
              <w:rPr>
                <w:szCs w:val="24"/>
              </w:rPr>
              <w:t>Pathfinder EA</w:t>
            </w:r>
          </w:p>
        </w:tc>
        <w:tc>
          <w:tcPr>
            <w:tcW w:w="3685" w:type="dxa"/>
            <w:vMerge/>
          </w:tcPr>
          <w:p w14:paraId="545F37C2" w14:textId="77777777" w:rsidR="00EE15EA" w:rsidRDefault="00EE15EA" w:rsidP="00862F07">
            <w:pPr>
              <w:pStyle w:val="ListParagraph"/>
              <w:ind w:left="0"/>
              <w:rPr>
                <w:szCs w:val="24"/>
              </w:rPr>
            </w:pPr>
          </w:p>
        </w:tc>
      </w:tr>
      <w:tr w:rsidR="007E58DC" w14:paraId="2B4D3842" w14:textId="77777777" w:rsidTr="003848EE">
        <w:tc>
          <w:tcPr>
            <w:tcW w:w="5665" w:type="dxa"/>
            <w:shd w:val="clear" w:color="auto" w:fill="auto"/>
            <w:vAlign w:val="center"/>
          </w:tcPr>
          <w:p w14:paraId="48B033C1" w14:textId="762E2F9D" w:rsidR="007E58DC" w:rsidRPr="003848EE" w:rsidRDefault="007E58DC" w:rsidP="003848EE">
            <w:pPr>
              <w:pStyle w:val="ListParagraph"/>
              <w:ind w:left="0"/>
              <w:jc w:val="right"/>
              <w:rPr>
                <w:szCs w:val="24"/>
              </w:rPr>
            </w:pPr>
            <w:r w:rsidRPr="003848EE">
              <w:rPr>
                <w:szCs w:val="24"/>
              </w:rPr>
              <w:t>Sub-total =</w:t>
            </w:r>
          </w:p>
        </w:tc>
        <w:tc>
          <w:tcPr>
            <w:tcW w:w="3685" w:type="dxa"/>
            <w:shd w:val="clear" w:color="auto" w:fill="auto"/>
            <w:vAlign w:val="center"/>
          </w:tcPr>
          <w:p w14:paraId="20670590" w14:textId="3A9B0639" w:rsidR="007E58DC" w:rsidRPr="003848EE" w:rsidRDefault="007E58DC" w:rsidP="003848EE">
            <w:pPr>
              <w:pStyle w:val="ListParagraph"/>
              <w:ind w:left="0"/>
              <w:jc w:val="center"/>
              <w:rPr>
                <w:szCs w:val="24"/>
              </w:rPr>
            </w:pPr>
            <w:r w:rsidRPr="003848EE">
              <w:rPr>
                <w:szCs w:val="24"/>
              </w:rPr>
              <w:t>80,000</w:t>
            </w:r>
          </w:p>
        </w:tc>
      </w:tr>
      <w:tr w:rsidR="00EE15EA" w14:paraId="28D95678" w14:textId="77777777" w:rsidTr="00EE15EA">
        <w:tc>
          <w:tcPr>
            <w:tcW w:w="9350" w:type="dxa"/>
            <w:gridSpan w:val="2"/>
            <w:shd w:val="clear" w:color="auto" w:fill="BFBFBF" w:themeFill="background1" w:themeFillShade="BF"/>
          </w:tcPr>
          <w:p w14:paraId="013351E4" w14:textId="0D705CAC" w:rsidR="00EE15EA" w:rsidRPr="007E58DC" w:rsidRDefault="00EE15EA" w:rsidP="00862F07">
            <w:pPr>
              <w:pStyle w:val="ListParagraph"/>
              <w:ind w:left="0"/>
              <w:rPr>
                <w:b/>
                <w:szCs w:val="24"/>
              </w:rPr>
            </w:pPr>
            <w:r w:rsidRPr="007E58DC">
              <w:rPr>
                <w:b/>
                <w:szCs w:val="24"/>
              </w:rPr>
              <w:t>Water Action Plan Projects</w:t>
            </w:r>
          </w:p>
        </w:tc>
      </w:tr>
      <w:tr w:rsidR="00862F07" w14:paraId="1CA06C56" w14:textId="77777777" w:rsidTr="007E58DC">
        <w:tc>
          <w:tcPr>
            <w:tcW w:w="5665" w:type="dxa"/>
          </w:tcPr>
          <w:p w14:paraId="0BAE8E7D" w14:textId="6BA597CC" w:rsidR="00862F07" w:rsidRDefault="00862F07" w:rsidP="00862F07">
            <w:pPr>
              <w:pStyle w:val="ListParagraph"/>
              <w:ind w:left="0"/>
              <w:rPr>
                <w:szCs w:val="24"/>
              </w:rPr>
            </w:pPr>
            <w:r>
              <w:rPr>
                <w:szCs w:val="24"/>
              </w:rPr>
              <w:t>Phelps County Canal Groundwater Recharge Project</w:t>
            </w:r>
          </w:p>
        </w:tc>
        <w:tc>
          <w:tcPr>
            <w:tcW w:w="3685" w:type="dxa"/>
            <w:vAlign w:val="center"/>
          </w:tcPr>
          <w:p w14:paraId="429D039D" w14:textId="2F6054D6" w:rsidR="00862F07" w:rsidRDefault="00EE15EA" w:rsidP="007E58DC">
            <w:pPr>
              <w:pStyle w:val="ListParagraph"/>
              <w:ind w:left="0"/>
              <w:jc w:val="center"/>
              <w:rPr>
                <w:szCs w:val="24"/>
              </w:rPr>
            </w:pPr>
            <w:r>
              <w:rPr>
                <w:szCs w:val="24"/>
              </w:rPr>
              <w:t>2,700</w:t>
            </w:r>
          </w:p>
        </w:tc>
      </w:tr>
      <w:tr w:rsidR="00862F07" w14:paraId="02AF2FCB" w14:textId="77777777" w:rsidTr="007E58DC">
        <w:tc>
          <w:tcPr>
            <w:tcW w:w="5665" w:type="dxa"/>
          </w:tcPr>
          <w:p w14:paraId="14AE53C1" w14:textId="1A2EC77C" w:rsidR="00862F07" w:rsidRDefault="00862F07" w:rsidP="00862F07">
            <w:pPr>
              <w:pStyle w:val="ListParagraph"/>
              <w:ind w:left="0"/>
              <w:rPr>
                <w:szCs w:val="24"/>
              </w:rPr>
            </w:pPr>
            <w:r>
              <w:rPr>
                <w:szCs w:val="24"/>
              </w:rPr>
              <w:t>Pathfinder Municipal Account Lease</w:t>
            </w:r>
          </w:p>
        </w:tc>
        <w:tc>
          <w:tcPr>
            <w:tcW w:w="3685" w:type="dxa"/>
            <w:vAlign w:val="center"/>
          </w:tcPr>
          <w:p w14:paraId="7ECFBDBE" w14:textId="37134192" w:rsidR="00862F07" w:rsidRDefault="00EE15EA" w:rsidP="007E58DC">
            <w:pPr>
              <w:pStyle w:val="ListParagraph"/>
              <w:ind w:left="0"/>
              <w:jc w:val="center"/>
              <w:rPr>
                <w:szCs w:val="24"/>
              </w:rPr>
            </w:pPr>
            <w:r>
              <w:rPr>
                <w:szCs w:val="24"/>
              </w:rPr>
              <w:t>6,350</w:t>
            </w:r>
          </w:p>
        </w:tc>
      </w:tr>
      <w:tr w:rsidR="00862F07" w14:paraId="62CB8746" w14:textId="77777777" w:rsidTr="007E58DC">
        <w:tc>
          <w:tcPr>
            <w:tcW w:w="5665" w:type="dxa"/>
          </w:tcPr>
          <w:p w14:paraId="7919026F" w14:textId="340282E5" w:rsidR="00862F07" w:rsidRDefault="00862F07" w:rsidP="00862F07">
            <w:pPr>
              <w:pStyle w:val="ListParagraph"/>
              <w:ind w:left="0"/>
              <w:rPr>
                <w:szCs w:val="24"/>
              </w:rPr>
            </w:pPr>
            <w:r>
              <w:rPr>
                <w:szCs w:val="24"/>
              </w:rPr>
              <w:t>No-Cost NCCW</w:t>
            </w:r>
          </w:p>
        </w:tc>
        <w:tc>
          <w:tcPr>
            <w:tcW w:w="3685" w:type="dxa"/>
            <w:vAlign w:val="center"/>
          </w:tcPr>
          <w:p w14:paraId="4F7F5422" w14:textId="6F6CB8B8" w:rsidR="00862F07" w:rsidRDefault="00EE15EA" w:rsidP="007E58DC">
            <w:pPr>
              <w:pStyle w:val="ListParagraph"/>
              <w:ind w:left="0"/>
              <w:jc w:val="center"/>
              <w:rPr>
                <w:szCs w:val="24"/>
              </w:rPr>
            </w:pPr>
            <w:r>
              <w:rPr>
                <w:szCs w:val="24"/>
              </w:rPr>
              <w:t>260</w:t>
            </w:r>
          </w:p>
        </w:tc>
      </w:tr>
      <w:tr w:rsidR="00862F07" w14:paraId="645C3B2D" w14:textId="77777777" w:rsidTr="007E58DC">
        <w:tc>
          <w:tcPr>
            <w:tcW w:w="5665" w:type="dxa"/>
          </w:tcPr>
          <w:p w14:paraId="0CAEBC0F" w14:textId="72D0615C" w:rsidR="00862F07" w:rsidRDefault="00862F07" w:rsidP="00862F07">
            <w:pPr>
              <w:pStyle w:val="ListParagraph"/>
              <w:ind w:left="0"/>
              <w:rPr>
                <w:szCs w:val="24"/>
              </w:rPr>
            </w:pPr>
            <w:r>
              <w:rPr>
                <w:szCs w:val="24"/>
              </w:rPr>
              <w:t>Cook Recapture Well</w:t>
            </w:r>
          </w:p>
        </w:tc>
        <w:tc>
          <w:tcPr>
            <w:tcW w:w="3685" w:type="dxa"/>
            <w:vAlign w:val="center"/>
          </w:tcPr>
          <w:p w14:paraId="267151CF" w14:textId="42D6539D" w:rsidR="00862F07" w:rsidRDefault="00EE15EA" w:rsidP="007E58DC">
            <w:pPr>
              <w:pStyle w:val="ListParagraph"/>
              <w:ind w:left="0"/>
              <w:jc w:val="center"/>
              <w:rPr>
                <w:szCs w:val="24"/>
              </w:rPr>
            </w:pPr>
            <w:r>
              <w:rPr>
                <w:szCs w:val="24"/>
              </w:rPr>
              <w:t>160</w:t>
            </w:r>
          </w:p>
        </w:tc>
      </w:tr>
      <w:tr w:rsidR="00862F07" w14:paraId="258E0A2D" w14:textId="77777777" w:rsidTr="007E58DC">
        <w:tc>
          <w:tcPr>
            <w:tcW w:w="5665" w:type="dxa"/>
          </w:tcPr>
          <w:p w14:paraId="41572A67" w14:textId="0ADE858D" w:rsidR="00862F07" w:rsidRDefault="00862F07" w:rsidP="00862F07">
            <w:pPr>
              <w:pStyle w:val="ListParagraph"/>
              <w:ind w:left="0"/>
              <w:rPr>
                <w:szCs w:val="24"/>
              </w:rPr>
            </w:pPr>
            <w:r>
              <w:rPr>
                <w:szCs w:val="24"/>
              </w:rPr>
              <w:t>Elwood Reservoir Recharge</w:t>
            </w:r>
            <w:r w:rsidR="00EE15EA" w:rsidRPr="007E58DC">
              <w:rPr>
                <w:szCs w:val="24"/>
                <w:vertAlign w:val="superscript"/>
              </w:rPr>
              <w:t>1</w:t>
            </w:r>
          </w:p>
        </w:tc>
        <w:tc>
          <w:tcPr>
            <w:tcW w:w="3685" w:type="dxa"/>
            <w:vAlign w:val="center"/>
          </w:tcPr>
          <w:p w14:paraId="48029153" w14:textId="6168C1C5" w:rsidR="00862F07" w:rsidRDefault="00EE15EA" w:rsidP="007E58DC">
            <w:pPr>
              <w:pStyle w:val="ListParagraph"/>
              <w:ind w:left="0"/>
              <w:jc w:val="center"/>
              <w:rPr>
                <w:szCs w:val="24"/>
              </w:rPr>
            </w:pPr>
            <w:r>
              <w:rPr>
                <w:szCs w:val="24"/>
              </w:rPr>
              <w:t>2,800</w:t>
            </w:r>
          </w:p>
        </w:tc>
      </w:tr>
      <w:tr w:rsidR="007E58DC" w14:paraId="435716F4" w14:textId="77777777" w:rsidTr="007E58DC">
        <w:tc>
          <w:tcPr>
            <w:tcW w:w="5665" w:type="dxa"/>
            <w:vAlign w:val="center"/>
          </w:tcPr>
          <w:p w14:paraId="6C6938C1" w14:textId="011C25FC" w:rsidR="007E58DC" w:rsidRDefault="007E58DC" w:rsidP="00EE15EA">
            <w:pPr>
              <w:pStyle w:val="ListParagraph"/>
              <w:ind w:left="0"/>
              <w:jc w:val="right"/>
              <w:rPr>
                <w:szCs w:val="24"/>
              </w:rPr>
            </w:pPr>
            <w:r>
              <w:rPr>
                <w:szCs w:val="24"/>
              </w:rPr>
              <w:t>Sub-total =</w:t>
            </w:r>
          </w:p>
        </w:tc>
        <w:tc>
          <w:tcPr>
            <w:tcW w:w="3685" w:type="dxa"/>
            <w:vAlign w:val="center"/>
          </w:tcPr>
          <w:p w14:paraId="1BB329CB" w14:textId="405207D6" w:rsidR="007E58DC" w:rsidRDefault="007E58DC" w:rsidP="007E58DC">
            <w:pPr>
              <w:pStyle w:val="ListParagraph"/>
              <w:ind w:left="0"/>
              <w:jc w:val="center"/>
              <w:rPr>
                <w:szCs w:val="24"/>
              </w:rPr>
            </w:pPr>
            <w:r>
              <w:rPr>
                <w:szCs w:val="24"/>
              </w:rPr>
              <w:t>12,270</w:t>
            </w:r>
          </w:p>
        </w:tc>
      </w:tr>
      <w:tr w:rsidR="003848EE" w14:paraId="12E0837D" w14:textId="77777777" w:rsidTr="003848EE">
        <w:tc>
          <w:tcPr>
            <w:tcW w:w="9350" w:type="dxa"/>
            <w:gridSpan w:val="2"/>
            <w:shd w:val="clear" w:color="auto" w:fill="C2D69B" w:themeFill="accent3" w:themeFillTint="99"/>
            <w:vAlign w:val="center"/>
          </w:tcPr>
          <w:p w14:paraId="011EBA5F" w14:textId="77777777" w:rsidR="003848EE" w:rsidRDefault="003848EE" w:rsidP="007E58DC">
            <w:pPr>
              <w:pStyle w:val="ListParagraph"/>
              <w:ind w:left="0"/>
              <w:jc w:val="center"/>
              <w:rPr>
                <w:szCs w:val="24"/>
              </w:rPr>
            </w:pPr>
          </w:p>
        </w:tc>
      </w:tr>
      <w:tr w:rsidR="00862F07" w14:paraId="213A8EED" w14:textId="77777777" w:rsidTr="003848EE">
        <w:tc>
          <w:tcPr>
            <w:tcW w:w="5665" w:type="dxa"/>
            <w:shd w:val="clear" w:color="auto" w:fill="BFBFBF" w:themeFill="background1" w:themeFillShade="BF"/>
            <w:vAlign w:val="center"/>
          </w:tcPr>
          <w:p w14:paraId="510A0AEB" w14:textId="1F0A8119" w:rsidR="00862F07" w:rsidRPr="003848EE" w:rsidRDefault="00862F07" w:rsidP="00EE15EA">
            <w:pPr>
              <w:pStyle w:val="ListParagraph"/>
              <w:ind w:left="0"/>
              <w:jc w:val="right"/>
              <w:rPr>
                <w:b/>
                <w:szCs w:val="24"/>
              </w:rPr>
            </w:pPr>
            <w:r w:rsidRPr="003848EE">
              <w:rPr>
                <w:b/>
                <w:szCs w:val="24"/>
              </w:rPr>
              <w:t>Total =</w:t>
            </w:r>
          </w:p>
        </w:tc>
        <w:tc>
          <w:tcPr>
            <w:tcW w:w="3685" w:type="dxa"/>
            <w:shd w:val="clear" w:color="auto" w:fill="BFBFBF" w:themeFill="background1" w:themeFillShade="BF"/>
            <w:vAlign w:val="center"/>
          </w:tcPr>
          <w:p w14:paraId="0951C68C" w14:textId="216ACDE7" w:rsidR="00862F07" w:rsidRPr="003848EE" w:rsidRDefault="003848EE" w:rsidP="007E58DC">
            <w:pPr>
              <w:pStyle w:val="ListParagraph"/>
              <w:ind w:left="0"/>
              <w:jc w:val="center"/>
              <w:rPr>
                <w:b/>
                <w:szCs w:val="24"/>
              </w:rPr>
            </w:pPr>
            <w:r w:rsidRPr="003848EE">
              <w:rPr>
                <w:b/>
                <w:szCs w:val="24"/>
              </w:rPr>
              <w:t>92,270</w:t>
            </w:r>
          </w:p>
        </w:tc>
      </w:tr>
    </w:tbl>
    <w:p w14:paraId="708367D0" w14:textId="4436E94E" w:rsidR="005D0F4D" w:rsidRPr="00E148A2" w:rsidRDefault="00EE15EA" w:rsidP="00EE15EA">
      <w:pPr>
        <w:pStyle w:val="ListParagraph"/>
        <w:spacing w:after="240"/>
        <w:ind w:left="0"/>
        <w:rPr>
          <w:sz w:val="20"/>
          <w:szCs w:val="20"/>
        </w:rPr>
      </w:pPr>
      <w:r w:rsidRPr="00E148A2">
        <w:rPr>
          <w:sz w:val="20"/>
          <w:szCs w:val="20"/>
          <w:vertAlign w:val="superscript"/>
        </w:rPr>
        <w:t>1</w:t>
      </w:r>
      <w:r w:rsidRPr="00E148A2">
        <w:rPr>
          <w:sz w:val="20"/>
          <w:szCs w:val="20"/>
        </w:rPr>
        <w:t xml:space="preserve"> Score analysis for Elwood Reservoir Recharge was reviewed by the Scoring Subcommittee in August 2018, but the recommended score of 2,800 AF has not yet been approved by the Governance Committee.</w:t>
      </w:r>
      <w:r w:rsidR="00AA1070" w:rsidRPr="00E148A2">
        <w:rPr>
          <w:sz w:val="20"/>
          <w:szCs w:val="20"/>
        </w:rPr>
        <w:t xml:space="preserve"> </w:t>
      </w:r>
      <w:r w:rsidR="00D13031" w:rsidRPr="00E148A2">
        <w:rPr>
          <w:sz w:val="20"/>
          <w:szCs w:val="20"/>
        </w:rPr>
        <w:t xml:space="preserve">   </w:t>
      </w:r>
    </w:p>
    <w:p w14:paraId="66EB03AD" w14:textId="77777777" w:rsidR="003B3A88" w:rsidRDefault="003848EE" w:rsidP="007E58DC">
      <w:pPr>
        <w:pStyle w:val="ListParagraph"/>
        <w:spacing w:after="240"/>
        <w:ind w:left="0"/>
        <w:rPr>
          <w:szCs w:val="24"/>
        </w:rPr>
      </w:pPr>
      <w:r>
        <w:rPr>
          <w:szCs w:val="24"/>
        </w:rPr>
        <w:t xml:space="preserve">To the extent that project scores and operational yields can be directly compared, the differences will be addressed in the appropriate section later in this </w:t>
      </w:r>
      <w:r w:rsidR="00167858">
        <w:rPr>
          <w:szCs w:val="24"/>
        </w:rPr>
        <w:t>memo</w:t>
      </w:r>
      <w:r>
        <w:rPr>
          <w:szCs w:val="24"/>
        </w:rPr>
        <w:t>.</w:t>
      </w:r>
      <w:r w:rsidR="00C861E1">
        <w:rPr>
          <w:szCs w:val="24"/>
        </w:rPr>
        <w:t xml:space="preserve">  At this</w:t>
      </w:r>
      <w:r>
        <w:rPr>
          <w:szCs w:val="24"/>
        </w:rPr>
        <w:t xml:space="preserve"> </w:t>
      </w:r>
      <w:r w:rsidR="000E2D45">
        <w:rPr>
          <w:szCs w:val="24"/>
        </w:rPr>
        <w:t xml:space="preserve">juncture, following Year 12 of the Program’s First Increment, there are a few identifiable factors in addition to those described above that may be influencing project operational yields relative to scores.  </w:t>
      </w:r>
    </w:p>
    <w:p w14:paraId="09A13001" w14:textId="1608B3EB" w:rsidR="00EE15EA" w:rsidRDefault="000E2D45" w:rsidP="007E58DC">
      <w:pPr>
        <w:pStyle w:val="ListParagraph"/>
        <w:spacing w:after="240"/>
        <w:ind w:left="0"/>
        <w:rPr>
          <w:szCs w:val="24"/>
        </w:rPr>
      </w:pPr>
      <w:r>
        <w:rPr>
          <w:szCs w:val="24"/>
        </w:rPr>
        <w:t>Perhaps the most significant of these is time.  For accounting analyses, there is at most 12 years of operational data (2007-2018),</w:t>
      </w:r>
      <w:r w:rsidR="00B549AA">
        <w:rPr>
          <w:szCs w:val="24"/>
        </w:rPr>
        <w:t xml:space="preserve"> and more often less,</w:t>
      </w:r>
      <w:r>
        <w:rPr>
          <w:szCs w:val="24"/>
        </w:rPr>
        <w:t xml:space="preserve"> whereas project scores are based on model results averaged over 48 years.</w:t>
      </w:r>
      <w:r w:rsidR="00B549AA">
        <w:rPr>
          <w:szCs w:val="24"/>
        </w:rPr>
        <w:t xml:space="preserve">  </w:t>
      </w:r>
      <w:r w:rsidR="00167858">
        <w:rPr>
          <w:szCs w:val="24"/>
        </w:rPr>
        <w:t>Due to the nature of subsurface groundwater flow through alluvial materials, accretions from recharge projects lag behind the time of diversion and recharge by months or years</w:t>
      </w:r>
      <w:r w:rsidR="003B3A88">
        <w:rPr>
          <w:szCs w:val="24"/>
        </w:rPr>
        <w:t>.  Program recharge projects are exhibiting generally increasing accretions in each successive year as a cumulative effect of ongoing operations, but these projects have not operated long enough to reach the sort of steady-state returns that are expected to result from relatively consistent operations and inputs over an extended period.</w:t>
      </w:r>
      <w:r w:rsidR="00167858">
        <w:rPr>
          <w:szCs w:val="24"/>
        </w:rPr>
        <w:t xml:space="preserve"> </w:t>
      </w:r>
      <w:r w:rsidR="00B549AA">
        <w:rPr>
          <w:szCs w:val="24"/>
        </w:rPr>
        <w:t xml:space="preserve">With scores based on decades of modeled operations and most project operations still in single-digit years, it is simply not yet possible </w:t>
      </w:r>
      <w:r w:rsidR="00746239">
        <w:rPr>
          <w:szCs w:val="24"/>
        </w:rPr>
        <w:t>to draw any definitive conclusions regarding long-term performance of Program water projects</w:t>
      </w:r>
      <w:r w:rsidR="00B549AA">
        <w:rPr>
          <w:szCs w:val="24"/>
        </w:rPr>
        <w:t>.</w:t>
      </w:r>
      <w:r>
        <w:rPr>
          <w:szCs w:val="24"/>
        </w:rPr>
        <w:t xml:space="preserve">  </w:t>
      </w:r>
    </w:p>
    <w:p w14:paraId="04289566" w14:textId="559D7BCB" w:rsidR="000E2D45" w:rsidRDefault="00145ED1" w:rsidP="007E58DC">
      <w:pPr>
        <w:pStyle w:val="ListParagraph"/>
        <w:spacing w:after="240"/>
        <w:ind w:left="0"/>
        <w:rPr>
          <w:szCs w:val="24"/>
        </w:rPr>
      </w:pPr>
      <w:r>
        <w:rPr>
          <w:szCs w:val="24"/>
        </w:rPr>
        <w:t xml:space="preserve">Another important factor </w:t>
      </w:r>
      <w:r w:rsidR="00746239">
        <w:rPr>
          <w:szCs w:val="24"/>
        </w:rPr>
        <w:t>is the availability of divertible excess flows during the First Increment compared to OPSTUDY hydrology.  In 2016, the EDO developed a draft white paper</w:t>
      </w:r>
      <w:r w:rsidR="00746239">
        <w:rPr>
          <w:rStyle w:val="FootnoteReference"/>
          <w:szCs w:val="24"/>
        </w:rPr>
        <w:footnoteReference w:id="9"/>
      </w:r>
      <w:r w:rsidR="00746239">
        <w:rPr>
          <w:szCs w:val="24"/>
        </w:rPr>
        <w:t xml:space="preserve"> (see </w:t>
      </w:r>
      <w:r w:rsidR="00746239" w:rsidRPr="00E809F5">
        <w:rPr>
          <w:b/>
          <w:szCs w:val="24"/>
        </w:rPr>
        <w:t>Appendix A</w:t>
      </w:r>
      <w:r w:rsidR="00746239">
        <w:rPr>
          <w:szCs w:val="24"/>
        </w:rPr>
        <w:t>) evaluating excess flows at Grand Island for 2007-2015 versus 1947-1994.</w:t>
      </w:r>
      <w:r w:rsidR="00761358">
        <w:rPr>
          <w:szCs w:val="24"/>
        </w:rPr>
        <w:t xml:space="preserve">  Key findings are as follows:</w:t>
      </w:r>
    </w:p>
    <w:p w14:paraId="230CC4D1" w14:textId="5FAE301B" w:rsidR="000E2D45" w:rsidRDefault="000E2D45" w:rsidP="000E2D45">
      <w:pPr>
        <w:pStyle w:val="ListParagraph"/>
        <w:numPr>
          <w:ilvl w:val="0"/>
          <w:numId w:val="12"/>
        </w:numPr>
        <w:rPr>
          <w:rFonts w:eastAsia="Times New Roman"/>
          <w:sz w:val="22"/>
        </w:rPr>
      </w:pPr>
      <w:r>
        <w:rPr>
          <w:rFonts w:eastAsia="Times New Roman"/>
        </w:rPr>
        <w:t>For OPSTUDY hydrology and the Grand Island gage record over 1947-1994, the average annual excess flows are very similar (438 cfs vs 444 cfs).  Excess flow patterns over the full time series and on an annual average basis are also quite similar</w:t>
      </w:r>
      <w:r w:rsidR="009F7C16">
        <w:rPr>
          <w:rFonts w:eastAsia="Times New Roman"/>
        </w:rPr>
        <w:t xml:space="preserve">, but there is still </w:t>
      </w:r>
      <w:r w:rsidR="009F7C16">
        <w:rPr>
          <w:rFonts w:eastAsia="Times New Roman"/>
        </w:rPr>
        <w:lastRenderedPageBreak/>
        <w:t>enough temporal variability in the availability of excess flows to create differences between project scores and operational yields</w:t>
      </w:r>
      <w:r w:rsidR="00761358">
        <w:rPr>
          <w:rStyle w:val="FootnoteReference"/>
          <w:rFonts w:eastAsia="Times New Roman"/>
        </w:rPr>
        <w:footnoteReference w:id="10"/>
      </w:r>
      <w:r>
        <w:rPr>
          <w:rFonts w:eastAsia="Times New Roman"/>
        </w:rPr>
        <w:t xml:space="preserve">.  </w:t>
      </w:r>
    </w:p>
    <w:p w14:paraId="3BE75221" w14:textId="77777777" w:rsidR="000E2D45" w:rsidRDefault="000E2D45" w:rsidP="000E2D45">
      <w:pPr>
        <w:rPr>
          <w:rFonts w:eastAsiaTheme="minorHAnsi"/>
        </w:rPr>
      </w:pPr>
    </w:p>
    <w:p w14:paraId="34468B6A" w14:textId="1F9C6999" w:rsidR="000E2D45" w:rsidRDefault="00761358" w:rsidP="000E2D45">
      <w:pPr>
        <w:pStyle w:val="ListParagraph"/>
        <w:numPr>
          <w:ilvl w:val="0"/>
          <w:numId w:val="12"/>
        </w:numPr>
        <w:rPr>
          <w:rFonts w:eastAsia="Times New Roman"/>
        </w:rPr>
      </w:pPr>
      <w:r>
        <w:rPr>
          <w:rFonts w:eastAsia="Times New Roman"/>
        </w:rPr>
        <w:t>Using gage records, a</w:t>
      </w:r>
      <w:r w:rsidR="000E2D45">
        <w:rPr>
          <w:rFonts w:eastAsia="Times New Roman"/>
        </w:rPr>
        <w:t xml:space="preserve">verage annual excess volume for 1947-1994 </w:t>
      </w:r>
      <w:r>
        <w:rPr>
          <w:rFonts w:eastAsia="Times New Roman"/>
        </w:rPr>
        <w:t>is</w:t>
      </w:r>
      <w:r w:rsidR="000E2D45">
        <w:rPr>
          <w:rFonts w:eastAsia="Times New Roman"/>
        </w:rPr>
        <w:t xml:space="preserve"> 386,300 AF; for 2007-2015 </w:t>
      </w:r>
      <w:r>
        <w:rPr>
          <w:rFonts w:eastAsia="Times New Roman"/>
        </w:rPr>
        <w:t>the average is</w:t>
      </w:r>
      <w:r w:rsidR="000E2D45">
        <w:rPr>
          <w:rFonts w:eastAsia="Times New Roman"/>
        </w:rPr>
        <w:t xml:space="preserve"> 476,800 AF.  Median annual excess volumes are</w:t>
      </w:r>
      <w:r>
        <w:rPr>
          <w:rFonts w:eastAsia="Times New Roman"/>
        </w:rPr>
        <w:t xml:space="preserve"> nearly identical at</w:t>
      </w:r>
      <w:r w:rsidR="000E2D45">
        <w:rPr>
          <w:rFonts w:eastAsia="Times New Roman"/>
        </w:rPr>
        <w:t xml:space="preserve"> 180,100 AF and 180,500 AF, respectively.  The First Increment</w:t>
      </w:r>
      <w:r>
        <w:rPr>
          <w:rFonts w:eastAsia="Times New Roman"/>
        </w:rPr>
        <w:t xml:space="preserve"> (2007-2015)</w:t>
      </w:r>
      <w:r w:rsidR="000E2D45">
        <w:rPr>
          <w:rFonts w:eastAsia="Times New Roman"/>
        </w:rPr>
        <w:t xml:space="preserve"> average volume is skewed</w:t>
      </w:r>
      <w:r w:rsidR="00661BBA">
        <w:rPr>
          <w:rFonts w:eastAsia="Times New Roman"/>
        </w:rPr>
        <w:t xml:space="preserve"> high</w:t>
      </w:r>
      <w:r w:rsidR="000E2D45">
        <w:rPr>
          <w:rFonts w:eastAsia="Times New Roman"/>
        </w:rPr>
        <w:t xml:space="preserve"> by the occurrence of very high flows</w:t>
      </w:r>
      <w:r w:rsidR="009F7C16">
        <w:rPr>
          <w:rFonts w:eastAsia="Times New Roman"/>
        </w:rPr>
        <w:t xml:space="preserve"> in just a few years and months</w:t>
      </w:r>
      <w:r>
        <w:rPr>
          <w:rStyle w:val="FootnoteReference"/>
          <w:rFonts w:eastAsia="Times New Roman"/>
        </w:rPr>
        <w:footnoteReference w:id="11"/>
      </w:r>
      <w:r w:rsidR="000E2D45">
        <w:rPr>
          <w:rFonts w:eastAsia="Times New Roman"/>
        </w:rPr>
        <w:t>.</w:t>
      </w:r>
    </w:p>
    <w:p w14:paraId="115F29AB" w14:textId="77777777" w:rsidR="000E2D45" w:rsidRDefault="000E2D45" w:rsidP="000E2D45">
      <w:pPr>
        <w:rPr>
          <w:rFonts w:eastAsiaTheme="minorHAnsi"/>
        </w:rPr>
      </w:pPr>
    </w:p>
    <w:p w14:paraId="0ACE3587" w14:textId="6BC79006" w:rsidR="000E2D45" w:rsidRDefault="000E2D45" w:rsidP="000E2D45">
      <w:pPr>
        <w:pStyle w:val="ListParagraph"/>
        <w:numPr>
          <w:ilvl w:val="0"/>
          <w:numId w:val="12"/>
        </w:numPr>
        <w:rPr>
          <w:rFonts w:eastAsia="Times New Roman"/>
        </w:rPr>
      </w:pPr>
      <w:r>
        <w:rPr>
          <w:rFonts w:eastAsia="Times New Roman"/>
        </w:rPr>
        <w:t>In January through May, average monthly excesses during 2007-2015 are less than 1947-1994 (ranging from 125 cfs less in January to 426 cfs less in March)</w:t>
      </w:r>
      <w:r w:rsidR="00761358">
        <w:rPr>
          <w:rStyle w:val="FootnoteReference"/>
          <w:rFonts w:eastAsia="Times New Roman"/>
        </w:rPr>
        <w:footnoteReference w:id="12"/>
      </w:r>
      <w:r>
        <w:rPr>
          <w:rFonts w:eastAsia="Times New Roman"/>
        </w:rPr>
        <w:t>.</w:t>
      </w:r>
    </w:p>
    <w:p w14:paraId="23E83C8F" w14:textId="77777777" w:rsidR="000E2D45" w:rsidRDefault="000E2D45" w:rsidP="000E2D45">
      <w:pPr>
        <w:pStyle w:val="ListParagraph"/>
        <w:rPr>
          <w:rFonts w:eastAsiaTheme="minorHAnsi"/>
        </w:rPr>
      </w:pPr>
    </w:p>
    <w:p w14:paraId="1F67FC7D" w14:textId="446C9DCF" w:rsidR="000E2D45" w:rsidRDefault="000E2D45" w:rsidP="000E2D45">
      <w:pPr>
        <w:pStyle w:val="ListParagraph"/>
        <w:numPr>
          <w:ilvl w:val="0"/>
          <w:numId w:val="12"/>
        </w:numPr>
        <w:rPr>
          <w:rFonts w:eastAsia="Times New Roman"/>
        </w:rPr>
      </w:pPr>
      <w:r>
        <w:rPr>
          <w:rFonts w:eastAsia="Times New Roman"/>
        </w:rPr>
        <w:t>During the 2007-2015</w:t>
      </w:r>
      <w:r w:rsidR="00A94E19">
        <w:rPr>
          <w:rFonts w:eastAsia="Times New Roman"/>
        </w:rPr>
        <w:t xml:space="preserve"> period</w:t>
      </w:r>
      <w:r>
        <w:rPr>
          <w:rFonts w:eastAsia="Times New Roman"/>
        </w:rPr>
        <w:t>,</w:t>
      </w:r>
      <w:r w:rsidR="00A94E19">
        <w:rPr>
          <w:rFonts w:eastAsia="Times New Roman"/>
        </w:rPr>
        <w:t xml:space="preserve"> in all months of the year,</w:t>
      </w:r>
      <w:r>
        <w:rPr>
          <w:rFonts w:eastAsia="Times New Roman"/>
        </w:rPr>
        <w:t xml:space="preserve"> more than half of years (at least 5 out of 9) have seen monthly excess flows below the 1947-1994 averages.  This is particularly pronounced in February (9 out of 9 years) and March/April (8 out of 9 years)</w:t>
      </w:r>
      <w:r w:rsidR="00761358">
        <w:rPr>
          <w:rStyle w:val="FootnoteReference"/>
          <w:rFonts w:eastAsia="Times New Roman"/>
        </w:rPr>
        <w:footnoteReference w:id="13"/>
      </w:r>
      <w:r>
        <w:rPr>
          <w:rFonts w:eastAsia="Times New Roman"/>
        </w:rPr>
        <w:t>.</w:t>
      </w:r>
    </w:p>
    <w:p w14:paraId="734E0646" w14:textId="77777777" w:rsidR="000E2D45" w:rsidRDefault="000E2D45" w:rsidP="000E2D45">
      <w:pPr>
        <w:pStyle w:val="ListParagraph"/>
        <w:rPr>
          <w:rFonts w:eastAsiaTheme="minorHAnsi"/>
        </w:rPr>
      </w:pPr>
    </w:p>
    <w:p w14:paraId="03381D90" w14:textId="1BFBB9F3" w:rsidR="000E2D45" w:rsidRDefault="009F7C16" w:rsidP="000E2D45">
      <w:pPr>
        <w:pStyle w:val="ListParagraph"/>
        <w:spacing w:after="240"/>
        <w:ind w:left="0"/>
      </w:pPr>
      <w:r>
        <w:t xml:space="preserve">The </w:t>
      </w:r>
      <w:r w:rsidR="00560B71">
        <w:t xml:space="preserve">EDO </w:t>
      </w:r>
      <w:r>
        <w:t xml:space="preserve">white paper concludes that the First Increment has </w:t>
      </w:r>
      <w:r w:rsidR="000E2D45">
        <w:t>generally</w:t>
      </w:r>
      <w:r>
        <w:t xml:space="preserve"> experienced</w:t>
      </w:r>
      <w:r w:rsidR="000E2D45">
        <w:t xml:space="preserve"> lower excess flows availability</w:t>
      </w:r>
      <w:r>
        <w:t xml:space="preserve"> at Grand Island</w:t>
      </w:r>
      <w:r w:rsidR="000E2D45">
        <w:t xml:space="preserve"> on a monthly basis</w:t>
      </w:r>
      <w:r>
        <w:t xml:space="preserve"> when compared to 1947-1994 historical hydrology</w:t>
      </w:r>
      <w:r w:rsidR="000E2D45">
        <w:t xml:space="preserve">, regardless of </w:t>
      </w:r>
      <w:r w:rsidR="00830806">
        <w:t>First Increment</w:t>
      </w:r>
      <w:r w:rsidR="000E2D45">
        <w:t xml:space="preserve"> annual average</w:t>
      </w:r>
      <w:r>
        <w:t xml:space="preserve"> excess flows </w:t>
      </w:r>
      <w:r w:rsidR="00040408">
        <w:t xml:space="preserve">is </w:t>
      </w:r>
      <w:r w:rsidR="000E2D45">
        <w:t xml:space="preserve">skewed by a few high-flow years.  </w:t>
      </w:r>
      <w:r w:rsidR="00830806">
        <w:rPr>
          <w:rFonts w:eastAsia="Times New Roman"/>
        </w:rPr>
        <w:t>This reduced availability of divertible excesses particularly affects the Tamarack I, Phelps, and Elwood recharge projects during the winter</w:t>
      </w:r>
      <w:r>
        <w:rPr>
          <w:rFonts w:eastAsia="Times New Roman"/>
        </w:rPr>
        <w:t xml:space="preserve"> months</w:t>
      </w:r>
      <w:r w:rsidR="00830806">
        <w:rPr>
          <w:rFonts w:eastAsia="Times New Roman"/>
        </w:rPr>
        <w:t xml:space="preserve"> and the CPNRD and NPPD canal recharge projects in the spring.  </w:t>
      </w:r>
      <w:r w:rsidR="00830806">
        <w:t>Consequently,</w:t>
      </w:r>
      <w:r w:rsidR="000E2D45">
        <w:t xml:space="preserve"> </w:t>
      </w:r>
      <w:r w:rsidR="00830806">
        <w:t>it is reasonable to conclude</w:t>
      </w:r>
      <w:r w:rsidR="000E2D45">
        <w:t xml:space="preserve"> that </w:t>
      </w:r>
      <w:r w:rsidR="00661BBA">
        <w:t xml:space="preserve">average </w:t>
      </w:r>
      <w:r w:rsidR="000E2D45">
        <w:t xml:space="preserve">First Increment operational yields to date for </w:t>
      </w:r>
      <w:r w:rsidR="00661BBA">
        <w:t>water</w:t>
      </w:r>
      <w:r w:rsidR="000E2D45">
        <w:t xml:space="preserve"> projects relying on divertible excess flows will </w:t>
      </w:r>
      <w:r w:rsidR="00EF29D7">
        <w:t xml:space="preserve">mostly likely </w:t>
      </w:r>
      <w:r w:rsidR="000E2D45">
        <w:t xml:space="preserve">be less than </w:t>
      </w:r>
      <w:r w:rsidR="00661BBA">
        <w:t xml:space="preserve">corresponding </w:t>
      </w:r>
      <w:r w:rsidR="000E2D45">
        <w:t>project scores based on 1947-1994 hydrology</w:t>
      </w:r>
      <w:r w:rsidR="00EF29D7">
        <w:t>.</w:t>
      </w:r>
    </w:p>
    <w:p w14:paraId="2289FF1D" w14:textId="5F50BDD6" w:rsidR="000E2D45" w:rsidRDefault="00661BBA" w:rsidP="007E58DC">
      <w:pPr>
        <w:pStyle w:val="ListParagraph"/>
        <w:spacing w:after="240"/>
        <w:ind w:left="0"/>
        <w:rPr>
          <w:szCs w:val="24"/>
        </w:rPr>
      </w:pPr>
      <w:r>
        <w:t>Determining the reasons why excess flows</w:t>
      </w:r>
      <w:r w:rsidR="00235D5E">
        <w:t xml:space="preserve"> are lower</w:t>
      </w:r>
      <w:r>
        <w:t xml:space="preserve"> </w:t>
      </w:r>
      <w:r w:rsidR="009F7C16">
        <w:t xml:space="preserve">is beyond the scope of this accounting memo, </w:t>
      </w:r>
      <w:r w:rsidR="00235D5E">
        <w:t>but the EDO intends to conduct a more robust investigation of the topic at a later date.  Without pinpointing any specific causes, it is likely to be a combination of both climatic and operational factors within the Platte River basin.  The EDO also plans to expand the original 2016 white paper include an evaluation of excess flows availability under the annual and real-time hydrologic conditions.</w:t>
      </w:r>
    </w:p>
    <w:p w14:paraId="0C509E02" w14:textId="2CF4F18B" w:rsidR="00494FEF" w:rsidRDefault="00494FEF" w:rsidP="00B9798C">
      <w:pPr>
        <w:pStyle w:val="ListParagraph"/>
        <w:numPr>
          <w:ilvl w:val="0"/>
          <w:numId w:val="1"/>
        </w:numPr>
        <w:spacing w:before="360" w:after="240"/>
        <w:rPr>
          <w:b/>
        </w:rPr>
      </w:pPr>
      <w:r>
        <w:rPr>
          <w:b/>
        </w:rPr>
        <w:t>GROUNDWATER RECHARGE</w:t>
      </w:r>
    </w:p>
    <w:p w14:paraId="0BCA7065" w14:textId="7BEF531D" w:rsidR="00494FEF" w:rsidRDefault="004C1DFD" w:rsidP="00494FEF">
      <w:pPr>
        <w:pStyle w:val="ListParagraph"/>
        <w:spacing w:before="120" w:after="240"/>
        <w:ind w:left="0"/>
      </w:pPr>
      <w:r>
        <w:t>The diversion of excess flows into Program recharge projects</w:t>
      </w:r>
      <w:r w:rsidR="000302DF">
        <w:t xml:space="preserve"> in the Central Platte</w:t>
      </w:r>
      <w:r>
        <w:t xml:space="preserve"> occurs mostly during the non-irrigation season.  </w:t>
      </w:r>
      <w:r w:rsidR="00A960E4">
        <w:t>A</w:t>
      </w:r>
      <w:r>
        <w:t xml:space="preserve"> general operations scheme is as follows, subject to the timing of changes in USFWS target flows and the availability of divertible excess flows:</w:t>
      </w:r>
    </w:p>
    <w:p w14:paraId="16D3EE2C" w14:textId="2754739A" w:rsidR="004C1DFD" w:rsidRDefault="004C1DFD" w:rsidP="00B9798C">
      <w:pPr>
        <w:pStyle w:val="ListParagraph"/>
        <w:numPr>
          <w:ilvl w:val="0"/>
          <w:numId w:val="8"/>
        </w:numPr>
        <w:spacing w:before="120" w:after="240"/>
      </w:pPr>
      <w:r>
        <w:lastRenderedPageBreak/>
        <w:t xml:space="preserve">The CPNRD and NPPD canals will generally switch to recharge operations immediately after </w:t>
      </w:r>
      <w:r w:rsidR="00A960E4">
        <w:t xml:space="preserve">irrigation </w:t>
      </w:r>
      <w:r>
        <w:t xml:space="preserve">diversions </w:t>
      </w:r>
      <w:r w:rsidR="00A960E4">
        <w:t xml:space="preserve">end </w:t>
      </w:r>
      <w:r>
        <w:t>in mid-September.  Diversions may continue until early October</w:t>
      </w:r>
      <w:r w:rsidR="00D571F5">
        <w:t>, then potentially again from mid-November into December</w:t>
      </w:r>
      <w:r>
        <w:t>.</w:t>
      </w:r>
    </w:p>
    <w:p w14:paraId="44D1FA84" w14:textId="44F1B044" w:rsidR="00FB7A49" w:rsidRDefault="004C1DFD" w:rsidP="00AD632F">
      <w:pPr>
        <w:pStyle w:val="ListParagraph"/>
        <w:numPr>
          <w:ilvl w:val="0"/>
          <w:numId w:val="8"/>
        </w:numPr>
        <w:spacing w:before="120" w:after="240"/>
      </w:pPr>
      <w:r>
        <w:t>The CNPPID</w:t>
      </w:r>
      <w:r w:rsidR="00D571F5">
        <w:t xml:space="preserve"> will typically perform necessary system maintenance after the irrigation season, followed by a release from the Lake McConaughy EA in coordination with the USFWS from late-October to mid-November </w:t>
      </w:r>
      <w:r w:rsidR="006B7EBF">
        <w:t>during the fall whooping crane migration</w:t>
      </w:r>
      <w:r w:rsidR="00D571F5">
        <w:t>.  Diversions into Phelps County Canal and Elwood Reservoir</w:t>
      </w:r>
      <w:r w:rsidR="00FB7A49">
        <w:t xml:space="preserve"> for recharge</w:t>
      </w:r>
      <w:r w:rsidR="00D571F5">
        <w:t xml:space="preserve"> will typically commence in mid- to late-November and continue until early- to mid-February</w:t>
      </w:r>
      <w:r w:rsidR="005863AF">
        <w:t xml:space="preserve"> unless changes in target flows make excess flows unavailable, there are ice issues, or, in the case of Phelps, threshold groundwater elevations are approached or exceeded.</w:t>
      </w:r>
    </w:p>
    <w:p w14:paraId="7E359218" w14:textId="2CEC394E" w:rsidR="00136DE3" w:rsidRDefault="00136DE3" w:rsidP="00136DE3">
      <w:pPr>
        <w:pStyle w:val="ListParagraph"/>
        <w:numPr>
          <w:ilvl w:val="0"/>
          <w:numId w:val="8"/>
        </w:numPr>
        <w:spacing w:before="120" w:after="240"/>
      </w:pPr>
      <w:r>
        <w:t xml:space="preserve">If excess flows are available, the CPNRD and NPPD canals may divert for recharge in the spring.  However, it is strongly desired to time </w:t>
      </w:r>
      <w:r w:rsidR="00C11798">
        <w:t>spring</w:t>
      </w:r>
      <w:r w:rsidR="00D066BC">
        <w:t xml:space="preserve"> recharge</w:t>
      </w:r>
      <w:r>
        <w:t xml:space="preserve"> diversions such they can continue directly into the start of the irrigation season</w:t>
      </w:r>
      <w:r>
        <w:rPr>
          <w:rStyle w:val="FootnoteReference"/>
        </w:rPr>
        <w:footnoteReference w:id="14"/>
      </w:r>
      <w:r>
        <w:t>.  If the canals were to be wetted in the spring during recharge operations and then stopped, it could encourage vegetation growth that would be detrimental to irrigation operations.  Spring diversions for recharge in the canals have been less common than fall diversions.</w:t>
      </w:r>
    </w:p>
    <w:p w14:paraId="7391BECB" w14:textId="4D68DEDF" w:rsidR="002D033C" w:rsidRDefault="00CB37D1" w:rsidP="002D033C">
      <w:pPr>
        <w:spacing w:before="120" w:after="240"/>
      </w:pPr>
      <w:r>
        <w:rPr>
          <w:szCs w:val="24"/>
        </w:rPr>
        <w:t xml:space="preserve">Except for limited recharge recapture pumping, the Program has no operational control over the timing of baseflow accretions after diversions are made.  Still, the total volume of accretions reaching Grand Island is of significance in the accounting analyses because groundwater recharge projects provide ongoing benefits to the river by consistently increasing baseflows as recharged water slowly returns to the river.  </w:t>
      </w:r>
      <w:r w:rsidR="002D033C">
        <w:t xml:space="preserve">The following sections summarize the operations and accounting for </w:t>
      </w:r>
      <w:r w:rsidR="00AD632F">
        <w:t xml:space="preserve">WAP groundwater </w:t>
      </w:r>
      <w:r w:rsidR="002D033C">
        <w:t>recharge projects, as well as the Tamarack I project in Colorado.</w:t>
      </w:r>
    </w:p>
    <w:p w14:paraId="704698F9" w14:textId="77777777" w:rsidR="00494FEF" w:rsidRDefault="00494FEF" w:rsidP="00B9798C">
      <w:pPr>
        <w:pStyle w:val="ListParagraph"/>
        <w:numPr>
          <w:ilvl w:val="0"/>
          <w:numId w:val="4"/>
        </w:numPr>
        <w:spacing w:before="240" w:after="240"/>
        <w:rPr>
          <w:b/>
        </w:rPr>
      </w:pPr>
      <w:r>
        <w:rPr>
          <w:b/>
        </w:rPr>
        <w:t>Tamarack I</w:t>
      </w:r>
    </w:p>
    <w:p w14:paraId="457CE49B" w14:textId="24DCA37C" w:rsidR="00255869" w:rsidRDefault="00255869" w:rsidP="00494FEF">
      <w:pPr>
        <w:pStyle w:val="ListParagraph"/>
        <w:spacing w:before="120" w:after="240"/>
        <w:ind w:left="0"/>
        <w:rPr>
          <w:szCs w:val="24"/>
        </w:rPr>
      </w:pPr>
      <w:r>
        <w:rPr>
          <w:szCs w:val="24"/>
        </w:rPr>
        <w:t>The Tamarack I groundwater recharge project</w:t>
      </w:r>
      <w:r w:rsidR="00996D42">
        <w:rPr>
          <w:szCs w:val="24"/>
        </w:rPr>
        <w:t xml:space="preserve"> </w:t>
      </w:r>
      <w:r>
        <w:rPr>
          <w:szCs w:val="24"/>
        </w:rPr>
        <w:t xml:space="preserve">is Colorado’s contribution to the initial state projects.  </w:t>
      </w:r>
      <w:r w:rsidRPr="00255869">
        <w:rPr>
          <w:szCs w:val="24"/>
        </w:rPr>
        <w:t xml:space="preserve">Located along the last 35 miles of the South Platte River upstream of the Colorado-Nebraska state line, Tamarack I diverts from the river to recharge ponds when there are flows in excess of USFWS targets at Grand Island and there is simultaneously no call on the South Platte River in Colorado. The sandy soils of northeastern Colorado </w:t>
      </w:r>
      <w:r w:rsidR="000551A3">
        <w:rPr>
          <w:szCs w:val="24"/>
        </w:rPr>
        <w:t xml:space="preserve">and </w:t>
      </w:r>
      <w:r w:rsidR="00673CD5">
        <w:rPr>
          <w:szCs w:val="24"/>
        </w:rPr>
        <w:t xml:space="preserve">large groundwater depth </w:t>
      </w:r>
      <w:r w:rsidRPr="00255869">
        <w:rPr>
          <w:szCs w:val="24"/>
        </w:rPr>
        <w:t>allow the ponded water to seep into the underlying alluvial aquifer and migrate back to the South Platte River at rates that are much higher than other Program recharge projects in central Nebraska.</w:t>
      </w:r>
      <w:r w:rsidR="00602621">
        <w:rPr>
          <w:szCs w:val="24"/>
        </w:rPr>
        <w:t xml:space="preserve">  The Tamarack I project is funded by Colorado water users through the South Platte </w:t>
      </w:r>
      <w:r w:rsidR="00A11CF6">
        <w:rPr>
          <w:szCs w:val="24"/>
        </w:rPr>
        <w:t>Water-Related Activities Program (SPWRAP), and shortage reductions are credited at no cost to the Program.</w:t>
      </w:r>
    </w:p>
    <w:p w14:paraId="2F2766E5" w14:textId="34F9E6A8" w:rsidR="00255869" w:rsidRDefault="00255869" w:rsidP="00494FEF">
      <w:pPr>
        <w:pStyle w:val="ListParagraph"/>
        <w:spacing w:before="120" w:after="240"/>
        <w:ind w:left="0"/>
        <w:rPr>
          <w:szCs w:val="24"/>
        </w:rPr>
      </w:pPr>
      <w:r w:rsidRPr="003F34B8">
        <w:rPr>
          <w:szCs w:val="24"/>
        </w:rPr>
        <w:t>Tamarack I includes 16 dedicated riverside wells at the Tamarack State Wildlife Area near Crook, Colorado and the Heyborne project lift station between Ovid and Julesburg. Together, these dedicated projects deliver water to 10 recharge ponds.  In addition, recharge</w:t>
      </w:r>
      <w:r w:rsidR="003F34B8" w:rsidRPr="003F34B8">
        <w:rPr>
          <w:szCs w:val="24"/>
        </w:rPr>
        <w:t xml:space="preserve"> credits are </w:t>
      </w:r>
      <w:r w:rsidR="003F34B8" w:rsidRPr="003F34B8">
        <w:rPr>
          <w:szCs w:val="24"/>
        </w:rPr>
        <w:lastRenderedPageBreak/>
        <w:t>leased from 10 private wells and from the Petersen and Settler canals near Julesburg, which deliver water to about 60 recharge ponds. About 40% of Tamarack I recharge credits are attributable to dedicated projects and 60% to private recharge projects</w:t>
      </w:r>
      <w:r w:rsidR="003F34B8">
        <w:rPr>
          <w:szCs w:val="24"/>
        </w:rPr>
        <w:t>.</w:t>
      </w:r>
    </w:p>
    <w:p w14:paraId="5F2289D2" w14:textId="29D3A687" w:rsidR="003F34B8" w:rsidRDefault="003F34B8" w:rsidP="00494FEF">
      <w:pPr>
        <w:pStyle w:val="ListParagraph"/>
        <w:spacing w:before="120" w:after="240"/>
        <w:ind w:left="0"/>
        <w:rPr>
          <w:szCs w:val="24"/>
        </w:rPr>
      </w:pPr>
      <w:r>
        <w:rPr>
          <w:szCs w:val="24"/>
        </w:rPr>
        <w:t xml:space="preserve">Construction of project facilities utilized by Tamarack I </w:t>
      </w:r>
      <w:r w:rsidR="00E21731">
        <w:rPr>
          <w:szCs w:val="24"/>
        </w:rPr>
        <w:t xml:space="preserve">began as early as 1997, and the project was operational at the inception of the Program’s First Increment in 2007.  Additional wells were installed in 2013 to increase capacity, and a pipeline installed beneath Interstate 76 in 2017 provides access to additional recharge sites at a greater distance from the river.  Four wells damaged by flooding in 2015 are </w:t>
      </w:r>
      <w:r w:rsidR="00766FFF">
        <w:rPr>
          <w:szCs w:val="24"/>
        </w:rPr>
        <w:t>anticipated to resume operations in 2019.</w:t>
      </w:r>
    </w:p>
    <w:p w14:paraId="1E2B71A1" w14:textId="61ECEC0A" w:rsidR="00DF15A3" w:rsidRDefault="00766FFF" w:rsidP="007E5C02">
      <w:pPr>
        <w:pStyle w:val="ListParagraph"/>
        <w:spacing w:before="120" w:after="240"/>
        <w:ind w:left="0"/>
        <w:rPr>
          <w:szCs w:val="24"/>
        </w:rPr>
      </w:pPr>
      <w:r>
        <w:rPr>
          <w:szCs w:val="24"/>
        </w:rPr>
        <w:t xml:space="preserve">Colorado submits a Tamarack I report to the Program each year, including monthly and annual accounting of credits for shortage reduction, as calculated at the Colorado-Nebraska state line.  The most recent Tamarack I report, from April 2018, is included in </w:t>
      </w:r>
      <w:r w:rsidRPr="00766FFF">
        <w:rPr>
          <w:b/>
          <w:szCs w:val="24"/>
        </w:rPr>
        <w:t xml:space="preserve">Appendix </w:t>
      </w:r>
      <w:r w:rsidR="00E27C8F">
        <w:rPr>
          <w:b/>
          <w:szCs w:val="24"/>
        </w:rPr>
        <w:t>B</w:t>
      </w:r>
      <w:r>
        <w:rPr>
          <w:szCs w:val="24"/>
        </w:rPr>
        <w:t xml:space="preserve">.  </w:t>
      </w:r>
      <w:r w:rsidR="003F34B8" w:rsidRPr="003F34B8">
        <w:rPr>
          <w:szCs w:val="24"/>
        </w:rPr>
        <w:t>Diversions to Tamarack I facilities are highest in December and January, and most credits for shortage reductions occur between February and May.</w:t>
      </w:r>
      <w:r w:rsidR="00253548">
        <w:rPr>
          <w:szCs w:val="24"/>
        </w:rPr>
        <w:t xml:space="preserve">  </w:t>
      </w:r>
      <w:r w:rsidR="00253548" w:rsidRPr="001D46DC">
        <w:rPr>
          <w:b/>
          <w:szCs w:val="24"/>
        </w:rPr>
        <w:t xml:space="preserve">Table </w:t>
      </w:r>
      <w:r w:rsidR="00E27C8F">
        <w:rPr>
          <w:b/>
          <w:szCs w:val="24"/>
        </w:rPr>
        <w:t>3</w:t>
      </w:r>
      <w:r w:rsidR="00E27C8F">
        <w:rPr>
          <w:szCs w:val="24"/>
        </w:rPr>
        <w:t xml:space="preserve"> </w:t>
      </w:r>
      <w:r w:rsidR="00253548">
        <w:rPr>
          <w:szCs w:val="24"/>
        </w:rPr>
        <w:t>summarizes Tamarack I operational accounting since</w:t>
      </w:r>
      <w:r w:rsidR="001D46DC">
        <w:rPr>
          <w:szCs w:val="24"/>
        </w:rPr>
        <w:t xml:space="preserve"> the Program began in</w:t>
      </w:r>
      <w:r w:rsidR="00253548">
        <w:rPr>
          <w:szCs w:val="24"/>
        </w:rPr>
        <w:t xml:space="preserve"> 2007.</w:t>
      </w:r>
      <w:r w:rsidR="00DB0F13">
        <w:rPr>
          <w:szCs w:val="24"/>
        </w:rPr>
        <w:t xml:space="preserve">   </w:t>
      </w:r>
      <w:r w:rsidR="00253548">
        <w:rPr>
          <w:szCs w:val="24"/>
        </w:rPr>
        <w:t xml:space="preserve">  </w:t>
      </w:r>
    </w:p>
    <w:p w14:paraId="759F03B9" w14:textId="33063435" w:rsidR="00255869" w:rsidRPr="0069660B" w:rsidRDefault="00255869" w:rsidP="00255869">
      <w:pPr>
        <w:rPr>
          <w:b/>
          <w:sz w:val="22"/>
        </w:rPr>
      </w:pPr>
      <w:r w:rsidRPr="0069660B">
        <w:rPr>
          <w:b/>
          <w:sz w:val="22"/>
        </w:rPr>
        <w:t xml:space="preserve">Table </w:t>
      </w:r>
      <w:r w:rsidR="00E27C8F">
        <w:rPr>
          <w:b/>
          <w:sz w:val="22"/>
        </w:rPr>
        <w:t>3</w:t>
      </w:r>
      <w:r w:rsidR="00330C32">
        <w:rPr>
          <w:b/>
          <w:sz w:val="22"/>
        </w:rPr>
        <w:t>.</w:t>
      </w:r>
      <w:r w:rsidRPr="0069660B">
        <w:rPr>
          <w:b/>
          <w:sz w:val="22"/>
        </w:rPr>
        <w:t xml:space="preserve"> Tamarack I Accounting (all values in AF, rounded to the nearest 10)</w:t>
      </w:r>
    </w:p>
    <w:tbl>
      <w:tblPr>
        <w:tblStyle w:val="TableGrid"/>
        <w:tblW w:w="0" w:type="auto"/>
        <w:tblLook w:val="04A0" w:firstRow="1" w:lastRow="0" w:firstColumn="1" w:lastColumn="0" w:noHBand="0" w:noVBand="1"/>
      </w:tblPr>
      <w:tblGrid>
        <w:gridCol w:w="1558"/>
        <w:gridCol w:w="1558"/>
        <w:gridCol w:w="1559"/>
        <w:gridCol w:w="1558"/>
        <w:gridCol w:w="1558"/>
        <w:gridCol w:w="1559"/>
      </w:tblGrid>
      <w:tr w:rsidR="004C2314" w:rsidRPr="0069660B" w14:paraId="3D392B47" w14:textId="77777777" w:rsidTr="004C2314">
        <w:tc>
          <w:tcPr>
            <w:tcW w:w="1558"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hideMark/>
          </w:tcPr>
          <w:p w14:paraId="705EC71E" w14:textId="65DD2A23" w:rsidR="004C2314" w:rsidRPr="0069660B" w:rsidRDefault="004C2314" w:rsidP="00DF15A3">
            <w:pPr>
              <w:jc w:val="center"/>
              <w:rPr>
                <w:sz w:val="22"/>
              </w:rPr>
            </w:pPr>
            <w:r w:rsidRPr="0069660B">
              <w:rPr>
                <w:b/>
                <w:bCs/>
                <w:sz w:val="22"/>
              </w:rPr>
              <w:t>Irrigation Year</w:t>
            </w:r>
            <w:r w:rsidR="0037038C" w:rsidRPr="0037038C">
              <w:rPr>
                <w:b/>
                <w:bCs/>
                <w:sz w:val="22"/>
                <w:vertAlign w:val="superscript"/>
              </w:rPr>
              <w:t>1</w:t>
            </w:r>
          </w:p>
        </w:tc>
        <w:tc>
          <w:tcPr>
            <w:tcW w:w="1558"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hideMark/>
          </w:tcPr>
          <w:p w14:paraId="50F1F985" w14:textId="77777777" w:rsidR="004C2314" w:rsidRDefault="004C2314" w:rsidP="00DF15A3">
            <w:pPr>
              <w:jc w:val="center"/>
              <w:rPr>
                <w:b/>
                <w:bCs/>
                <w:sz w:val="22"/>
              </w:rPr>
            </w:pPr>
            <w:r w:rsidRPr="0069660B">
              <w:rPr>
                <w:b/>
                <w:bCs/>
                <w:sz w:val="22"/>
              </w:rPr>
              <w:t>Tamarack I Net Diversions</w:t>
            </w:r>
            <w:r>
              <w:rPr>
                <w:b/>
                <w:bCs/>
                <w:sz w:val="22"/>
              </w:rPr>
              <w:t xml:space="preserve"> in Reach </w:t>
            </w:r>
          </w:p>
          <w:p w14:paraId="7F09ADED" w14:textId="7CC24CCC" w:rsidR="004C2314" w:rsidRPr="004C2314" w:rsidRDefault="004C2314" w:rsidP="004C2314">
            <w:pPr>
              <w:jc w:val="center"/>
              <w:rPr>
                <w:b/>
                <w:bCs/>
                <w:sz w:val="22"/>
              </w:rPr>
            </w:pPr>
            <w:r>
              <w:rPr>
                <w:b/>
                <w:bCs/>
                <w:sz w:val="22"/>
              </w:rPr>
              <w:t xml:space="preserve">(Gross-Evap) </w:t>
            </w:r>
          </w:p>
        </w:tc>
        <w:tc>
          <w:tcPr>
            <w:tcW w:w="1559"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tcPr>
          <w:p w14:paraId="4419E1ED" w14:textId="5CBB90C3" w:rsidR="004C2314" w:rsidRPr="0069660B" w:rsidRDefault="004C2314" w:rsidP="004C2314">
            <w:pPr>
              <w:jc w:val="center"/>
              <w:rPr>
                <w:b/>
                <w:bCs/>
                <w:sz w:val="22"/>
              </w:rPr>
            </w:pPr>
            <w:r>
              <w:rPr>
                <w:b/>
                <w:bCs/>
                <w:sz w:val="22"/>
              </w:rPr>
              <w:t>Tamarack I Total Accretions in Reach</w:t>
            </w:r>
          </w:p>
        </w:tc>
        <w:tc>
          <w:tcPr>
            <w:tcW w:w="1558"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hideMark/>
          </w:tcPr>
          <w:p w14:paraId="316249D2" w14:textId="6CD8614E" w:rsidR="004C2314" w:rsidRPr="0069660B" w:rsidRDefault="004C2314" w:rsidP="00DF15A3">
            <w:pPr>
              <w:jc w:val="center"/>
              <w:rPr>
                <w:b/>
                <w:bCs/>
                <w:sz w:val="22"/>
              </w:rPr>
            </w:pPr>
            <w:r w:rsidRPr="0069660B">
              <w:rPr>
                <w:b/>
                <w:bCs/>
                <w:sz w:val="22"/>
              </w:rPr>
              <w:t>Tamarack I Total Accretions at State Line</w:t>
            </w:r>
          </w:p>
        </w:tc>
        <w:tc>
          <w:tcPr>
            <w:tcW w:w="1558"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hideMark/>
          </w:tcPr>
          <w:p w14:paraId="22B6C659" w14:textId="245F999D" w:rsidR="004C2314" w:rsidRPr="0069660B" w:rsidRDefault="004C2314" w:rsidP="00DF15A3">
            <w:pPr>
              <w:jc w:val="center"/>
              <w:rPr>
                <w:sz w:val="22"/>
              </w:rPr>
            </w:pPr>
            <w:r w:rsidRPr="0069660B">
              <w:rPr>
                <w:b/>
                <w:bCs/>
                <w:sz w:val="22"/>
              </w:rPr>
              <w:t>Tamarack I Credits for Shortage Reduction at State Line</w:t>
            </w:r>
          </w:p>
        </w:tc>
        <w:tc>
          <w:tcPr>
            <w:tcW w:w="1559"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hideMark/>
          </w:tcPr>
          <w:p w14:paraId="58E3FBA1" w14:textId="36329821" w:rsidR="004C2314" w:rsidRPr="0069660B" w:rsidRDefault="004C2314" w:rsidP="00DF15A3">
            <w:pPr>
              <w:jc w:val="center"/>
              <w:rPr>
                <w:b/>
                <w:bCs/>
                <w:sz w:val="22"/>
              </w:rPr>
            </w:pPr>
            <w:r w:rsidRPr="0069660B">
              <w:rPr>
                <w:b/>
                <w:bCs/>
                <w:sz w:val="22"/>
              </w:rPr>
              <w:t xml:space="preserve">Tamarack I Credits </w:t>
            </w:r>
            <w:r w:rsidR="0037038C">
              <w:rPr>
                <w:b/>
                <w:bCs/>
                <w:sz w:val="22"/>
              </w:rPr>
              <w:t xml:space="preserve">Reaching </w:t>
            </w:r>
            <w:r w:rsidRPr="0069660B">
              <w:rPr>
                <w:b/>
                <w:bCs/>
                <w:sz w:val="22"/>
              </w:rPr>
              <w:t>Grand Island</w:t>
            </w:r>
          </w:p>
        </w:tc>
      </w:tr>
      <w:tr w:rsidR="0037038C" w:rsidRPr="0069660B" w14:paraId="00BBD578" w14:textId="77777777" w:rsidTr="0037038C">
        <w:trPr>
          <w:trHeight w:val="288"/>
        </w:trPr>
        <w:tc>
          <w:tcPr>
            <w:tcW w:w="1558" w:type="dxa"/>
            <w:tcBorders>
              <w:top w:val="single" w:sz="4" w:space="0" w:color="auto"/>
              <w:left w:val="single" w:sz="4" w:space="0" w:color="auto"/>
              <w:bottom w:val="single" w:sz="4" w:space="0" w:color="auto"/>
              <w:right w:val="single" w:sz="4" w:space="0" w:color="auto"/>
            </w:tcBorders>
            <w:vAlign w:val="center"/>
            <w:hideMark/>
          </w:tcPr>
          <w:p w14:paraId="553E09D3" w14:textId="77777777" w:rsidR="0037038C" w:rsidRPr="0069660B" w:rsidRDefault="0037038C" w:rsidP="0037038C">
            <w:pPr>
              <w:jc w:val="center"/>
              <w:rPr>
                <w:sz w:val="22"/>
              </w:rPr>
            </w:pPr>
            <w:r w:rsidRPr="0069660B">
              <w:rPr>
                <w:sz w:val="22"/>
              </w:rPr>
              <w:t>2007</w:t>
            </w:r>
          </w:p>
        </w:tc>
        <w:tc>
          <w:tcPr>
            <w:tcW w:w="1558" w:type="dxa"/>
            <w:tcBorders>
              <w:top w:val="single" w:sz="4" w:space="0" w:color="auto"/>
              <w:left w:val="single" w:sz="4" w:space="0" w:color="auto"/>
              <w:bottom w:val="single" w:sz="4" w:space="0" w:color="auto"/>
              <w:right w:val="single" w:sz="4" w:space="0" w:color="auto"/>
            </w:tcBorders>
            <w:vAlign w:val="center"/>
          </w:tcPr>
          <w:p w14:paraId="480BC4FC" w14:textId="49831631" w:rsidR="0037038C" w:rsidRPr="0037038C" w:rsidRDefault="0037038C" w:rsidP="0037038C">
            <w:pPr>
              <w:jc w:val="center"/>
              <w:rPr>
                <w:sz w:val="22"/>
              </w:rPr>
            </w:pPr>
            <w:r w:rsidRPr="0037038C">
              <w:rPr>
                <w:sz w:val="22"/>
              </w:rPr>
              <w:t>16,290</w:t>
            </w:r>
          </w:p>
        </w:tc>
        <w:tc>
          <w:tcPr>
            <w:tcW w:w="1559" w:type="dxa"/>
            <w:tcBorders>
              <w:top w:val="single" w:sz="4" w:space="0" w:color="auto"/>
              <w:left w:val="single" w:sz="4" w:space="0" w:color="auto"/>
              <w:bottom w:val="single" w:sz="4" w:space="0" w:color="auto"/>
              <w:right w:val="single" w:sz="4" w:space="0" w:color="auto"/>
            </w:tcBorders>
            <w:vAlign w:val="center"/>
          </w:tcPr>
          <w:p w14:paraId="19E2D32D" w14:textId="44F72719" w:rsidR="0037038C" w:rsidRPr="0037038C" w:rsidRDefault="0037038C" w:rsidP="0037038C">
            <w:pPr>
              <w:jc w:val="center"/>
              <w:rPr>
                <w:sz w:val="22"/>
              </w:rPr>
            </w:pPr>
            <w:r w:rsidRPr="0037038C">
              <w:rPr>
                <w:sz w:val="22"/>
              </w:rPr>
              <w:t>12,592</w:t>
            </w:r>
          </w:p>
        </w:tc>
        <w:tc>
          <w:tcPr>
            <w:tcW w:w="1558" w:type="dxa"/>
            <w:tcBorders>
              <w:top w:val="single" w:sz="4" w:space="0" w:color="auto"/>
              <w:left w:val="single" w:sz="4" w:space="0" w:color="auto"/>
              <w:bottom w:val="single" w:sz="4" w:space="0" w:color="auto"/>
              <w:right w:val="single" w:sz="4" w:space="0" w:color="auto"/>
            </w:tcBorders>
            <w:vAlign w:val="center"/>
          </w:tcPr>
          <w:p w14:paraId="0690CF84" w14:textId="58A3C6FE" w:rsidR="0037038C" w:rsidRPr="0037038C" w:rsidRDefault="0037038C" w:rsidP="0037038C">
            <w:pPr>
              <w:jc w:val="center"/>
              <w:rPr>
                <w:sz w:val="22"/>
              </w:rPr>
            </w:pPr>
            <w:r w:rsidRPr="0037038C">
              <w:rPr>
                <w:sz w:val="22"/>
              </w:rPr>
              <w:t>4,110</w:t>
            </w:r>
          </w:p>
        </w:tc>
        <w:tc>
          <w:tcPr>
            <w:tcW w:w="1558" w:type="dxa"/>
            <w:tcBorders>
              <w:top w:val="single" w:sz="4" w:space="0" w:color="auto"/>
              <w:left w:val="single" w:sz="4" w:space="0" w:color="auto"/>
              <w:bottom w:val="single" w:sz="4" w:space="0" w:color="auto"/>
              <w:right w:val="single" w:sz="4" w:space="0" w:color="auto"/>
            </w:tcBorders>
            <w:vAlign w:val="center"/>
          </w:tcPr>
          <w:p w14:paraId="7C75B7DE" w14:textId="1E15E11B" w:rsidR="0037038C" w:rsidRPr="0037038C" w:rsidRDefault="0037038C" w:rsidP="0037038C">
            <w:pPr>
              <w:jc w:val="center"/>
              <w:rPr>
                <w:sz w:val="22"/>
              </w:rPr>
            </w:pPr>
            <w:r w:rsidRPr="0037038C">
              <w:rPr>
                <w:sz w:val="22"/>
              </w:rPr>
              <w:t>3,290</w:t>
            </w:r>
          </w:p>
        </w:tc>
        <w:tc>
          <w:tcPr>
            <w:tcW w:w="1559" w:type="dxa"/>
            <w:tcBorders>
              <w:top w:val="single" w:sz="4" w:space="0" w:color="auto"/>
              <w:left w:val="single" w:sz="4" w:space="0" w:color="auto"/>
              <w:bottom w:val="single" w:sz="4" w:space="0" w:color="auto"/>
              <w:right w:val="single" w:sz="4" w:space="0" w:color="auto"/>
            </w:tcBorders>
            <w:vAlign w:val="center"/>
          </w:tcPr>
          <w:p w14:paraId="4B1BB356" w14:textId="486992B0" w:rsidR="0037038C" w:rsidRPr="0037038C" w:rsidRDefault="0037038C" w:rsidP="0037038C">
            <w:pPr>
              <w:jc w:val="center"/>
              <w:rPr>
                <w:sz w:val="22"/>
              </w:rPr>
            </w:pPr>
            <w:r w:rsidRPr="0037038C">
              <w:rPr>
                <w:sz w:val="22"/>
              </w:rPr>
              <w:t>2,850</w:t>
            </w:r>
          </w:p>
        </w:tc>
      </w:tr>
      <w:tr w:rsidR="0037038C" w:rsidRPr="0069660B" w14:paraId="6BCD5127" w14:textId="77777777" w:rsidTr="0037038C">
        <w:trPr>
          <w:trHeight w:val="288"/>
        </w:trPr>
        <w:tc>
          <w:tcPr>
            <w:tcW w:w="1558" w:type="dxa"/>
            <w:tcBorders>
              <w:top w:val="single" w:sz="4" w:space="0" w:color="auto"/>
              <w:left w:val="single" w:sz="4" w:space="0" w:color="auto"/>
              <w:bottom w:val="single" w:sz="4" w:space="0" w:color="auto"/>
              <w:right w:val="single" w:sz="4" w:space="0" w:color="auto"/>
            </w:tcBorders>
            <w:vAlign w:val="center"/>
            <w:hideMark/>
          </w:tcPr>
          <w:p w14:paraId="40F90D4C" w14:textId="77777777" w:rsidR="0037038C" w:rsidRPr="0069660B" w:rsidRDefault="0037038C" w:rsidP="0037038C">
            <w:pPr>
              <w:jc w:val="center"/>
              <w:rPr>
                <w:sz w:val="22"/>
              </w:rPr>
            </w:pPr>
            <w:r w:rsidRPr="0069660B">
              <w:rPr>
                <w:sz w:val="22"/>
              </w:rPr>
              <w:t>2008</w:t>
            </w:r>
          </w:p>
        </w:tc>
        <w:tc>
          <w:tcPr>
            <w:tcW w:w="1558" w:type="dxa"/>
            <w:tcBorders>
              <w:top w:val="single" w:sz="4" w:space="0" w:color="auto"/>
              <w:left w:val="single" w:sz="4" w:space="0" w:color="auto"/>
              <w:bottom w:val="single" w:sz="4" w:space="0" w:color="auto"/>
              <w:right w:val="single" w:sz="4" w:space="0" w:color="auto"/>
            </w:tcBorders>
            <w:vAlign w:val="center"/>
          </w:tcPr>
          <w:p w14:paraId="2D7FF900" w14:textId="152D4787" w:rsidR="0037038C" w:rsidRPr="0037038C" w:rsidRDefault="0037038C" w:rsidP="0037038C">
            <w:pPr>
              <w:jc w:val="center"/>
              <w:rPr>
                <w:sz w:val="22"/>
              </w:rPr>
            </w:pPr>
            <w:r w:rsidRPr="0037038C">
              <w:rPr>
                <w:sz w:val="22"/>
              </w:rPr>
              <w:t>25,990</w:t>
            </w:r>
          </w:p>
        </w:tc>
        <w:tc>
          <w:tcPr>
            <w:tcW w:w="1559" w:type="dxa"/>
            <w:tcBorders>
              <w:top w:val="single" w:sz="4" w:space="0" w:color="auto"/>
              <w:left w:val="single" w:sz="4" w:space="0" w:color="auto"/>
              <w:bottom w:val="single" w:sz="4" w:space="0" w:color="auto"/>
              <w:right w:val="single" w:sz="4" w:space="0" w:color="auto"/>
            </w:tcBorders>
            <w:vAlign w:val="center"/>
          </w:tcPr>
          <w:p w14:paraId="0AEF5C2C" w14:textId="051DB481" w:rsidR="0037038C" w:rsidRPr="0037038C" w:rsidRDefault="0037038C" w:rsidP="0037038C">
            <w:pPr>
              <w:jc w:val="center"/>
              <w:rPr>
                <w:sz w:val="22"/>
              </w:rPr>
            </w:pPr>
            <w:r w:rsidRPr="0037038C">
              <w:rPr>
                <w:sz w:val="22"/>
              </w:rPr>
              <w:t>21,801</w:t>
            </w:r>
          </w:p>
        </w:tc>
        <w:tc>
          <w:tcPr>
            <w:tcW w:w="1558" w:type="dxa"/>
            <w:tcBorders>
              <w:top w:val="single" w:sz="4" w:space="0" w:color="auto"/>
              <w:left w:val="single" w:sz="4" w:space="0" w:color="auto"/>
              <w:bottom w:val="single" w:sz="4" w:space="0" w:color="auto"/>
              <w:right w:val="single" w:sz="4" w:space="0" w:color="auto"/>
            </w:tcBorders>
            <w:vAlign w:val="center"/>
          </w:tcPr>
          <w:p w14:paraId="21803285" w14:textId="5FA25DA7" w:rsidR="0037038C" w:rsidRPr="0037038C" w:rsidRDefault="0037038C" w:rsidP="0037038C">
            <w:pPr>
              <w:jc w:val="center"/>
              <w:rPr>
                <w:sz w:val="22"/>
              </w:rPr>
            </w:pPr>
            <w:r w:rsidRPr="0037038C">
              <w:rPr>
                <w:sz w:val="22"/>
              </w:rPr>
              <w:t>10,890</w:t>
            </w:r>
          </w:p>
        </w:tc>
        <w:tc>
          <w:tcPr>
            <w:tcW w:w="1558" w:type="dxa"/>
            <w:tcBorders>
              <w:top w:val="single" w:sz="4" w:space="0" w:color="auto"/>
              <w:left w:val="single" w:sz="4" w:space="0" w:color="auto"/>
              <w:bottom w:val="single" w:sz="4" w:space="0" w:color="auto"/>
              <w:right w:val="single" w:sz="4" w:space="0" w:color="auto"/>
            </w:tcBorders>
            <w:vAlign w:val="center"/>
          </w:tcPr>
          <w:p w14:paraId="4E1ED0A9" w14:textId="72EFB09F" w:rsidR="0037038C" w:rsidRPr="0037038C" w:rsidRDefault="0037038C" w:rsidP="0037038C">
            <w:pPr>
              <w:jc w:val="center"/>
              <w:rPr>
                <w:sz w:val="22"/>
              </w:rPr>
            </w:pPr>
            <w:r w:rsidRPr="0037038C">
              <w:rPr>
                <w:sz w:val="22"/>
              </w:rPr>
              <w:t>6,760</w:t>
            </w:r>
          </w:p>
        </w:tc>
        <w:tc>
          <w:tcPr>
            <w:tcW w:w="1559" w:type="dxa"/>
            <w:tcBorders>
              <w:top w:val="single" w:sz="4" w:space="0" w:color="auto"/>
              <w:left w:val="single" w:sz="4" w:space="0" w:color="auto"/>
              <w:bottom w:val="single" w:sz="4" w:space="0" w:color="auto"/>
              <w:right w:val="single" w:sz="4" w:space="0" w:color="auto"/>
            </w:tcBorders>
            <w:vAlign w:val="center"/>
          </w:tcPr>
          <w:p w14:paraId="0F37D404" w14:textId="7057C59C" w:rsidR="0037038C" w:rsidRPr="0037038C" w:rsidRDefault="0037038C" w:rsidP="0037038C">
            <w:pPr>
              <w:jc w:val="center"/>
              <w:rPr>
                <w:sz w:val="22"/>
              </w:rPr>
            </w:pPr>
            <w:r w:rsidRPr="0037038C">
              <w:rPr>
                <w:sz w:val="22"/>
              </w:rPr>
              <w:t>6,020</w:t>
            </w:r>
          </w:p>
        </w:tc>
      </w:tr>
      <w:tr w:rsidR="0037038C" w:rsidRPr="0069660B" w14:paraId="30266752" w14:textId="77777777" w:rsidTr="0037038C">
        <w:trPr>
          <w:trHeight w:val="288"/>
        </w:trPr>
        <w:tc>
          <w:tcPr>
            <w:tcW w:w="1558" w:type="dxa"/>
            <w:tcBorders>
              <w:top w:val="single" w:sz="4" w:space="0" w:color="auto"/>
              <w:left w:val="single" w:sz="4" w:space="0" w:color="auto"/>
              <w:bottom w:val="single" w:sz="4" w:space="0" w:color="auto"/>
              <w:right w:val="single" w:sz="4" w:space="0" w:color="auto"/>
            </w:tcBorders>
            <w:vAlign w:val="center"/>
            <w:hideMark/>
          </w:tcPr>
          <w:p w14:paraId="3EAF2BBF" w14:textId="77777777" w:rsidR="0037038C" w:rsidRPr="0069660B" w:rsidRDefault="0037038C" w:rsidP="0037038C">
            <w:pPr>
              <w:jc w:val="center"/>
              <w:rPr>
                <w:sz w:val="22"/>
              </w:rPr>
            </w:pPr>
            <w:r w:rsidRPr="0069660B">
              <w:rPr>
                <w:sz w:val="22"/>
              </w:rPr>
              <w:t>2009</w:t>
            </w:r>
          </w:p>
        </w:tc>
        <w:tc>
          <w:tcPr>
            <w:tcW w:w="1558" w:type="dxa"/>
            <w:tcBorders>
              <w:top w:val="single" w:sz="4" w:space="0" w:color="auto"/>
              <w:left w:val="single" w:sz="4" w:space="0" w:color="auto"/>
              <w:bottom w:val="single" w:sz="4" w:space="0" w:color="auto"/>
              <w:right w:val="single" w:sz="4" w:space="0" w:color="auto"/>
            </w:tcBorders>
            <w:vAlign w:val="center"/>
          </w:tcPr>
          <w:p w14:paraId="612E0B7C" w14:textId="7244E9A1" w:rsidR="0037038C" w:rsidRPr="0037038C" w:rsidRDefault="0037038C" w:rsidP="0037038C">
            <w:pPr>
              <w:jc w:val="center"/>
              <w:rPr>
                <w:sz w:val="22"/>
              </w:rPr>
            </w:pPr>
            <w:r w:rsidRPr="0037038C">
              <w:rPr>
                <w:sz w:val="22"/>
              </w:rPr>
              <w:t>2,600</w:t>
            </w:r>
          </w:p>
        </w:tc>
        <w:tc>
          <w:tcPr>
            <w:tcW w:w="1559" w:type="dxa"/>
            <w:tcBorders>
              <w:top w:val="single" w:sz="4" w:space="0" w:color="auto"/>
              <w:left w:val="single" w:sz="4" w:space="0" w:color="auto"/>
              <w:bottom w:val="single" w:sz="4" w:space="0" w:color="auto"/>
              <w:right w:val="single" w:sz="4" w:space="0" w:color="auto"/>
            </w:tcBorders>
            <w:vAlign w:val="center"/>
          </w:tcPr>
          <w:p w14:paraId="3E7D02C8" w14:textId="58C3BE59" w:rsidR="0037038C" w:rsidRPr="0037038C" w:rsidRDefault="0037038C" w:rsidP="0037038C">
            <w:pPr>
              <w:jc w:val="center"/>
              <w:rPr>
                <w:sz w:val="22"/>
              </w:rPr>
            </w:pPr>
            <w:r w:rsidRPr="0037038C">
              <w:rPr>
                <w:sz w:val="22"/>
              </w:rPr>
              <w:t>9,855</w:t>
            </w:r>
          </w:p>
        </w:tc>
        <w:tc>
          <w:tcPr>
            <w:tcW w:w="1558" w:type="dxa"/>
            <w:tcBorders>
              <w:top w:val="single" w:sz="4" w:space="0" w:color="auto"/>
              <w:left w:val="single" w:sz="4" w:space="0" w:color="auto"/>
              <w:bottom w:val="single" w:sz="4" w:space="0" w:color="auto"/>
              <w:right w:val="single" w:sz="4" w:space="0" w:color="auto"/>
            </w:tcBorders>
            <w:vAlign w:val="center"/>
          </w:tcPr>
          <w:p w14:paraId="3E7B90BA" w14:textId="686A35B8" w:rsidR="0037038C" w:rsidRPr="0037038C" w:rsidRDefault="0037038C" w:rsidP="0037038C">
            <w:pPr>
              <w:jc w:val="center"/>
              <w:rPr>
                <w:sz w:val="22"/>
              </w:rPr>
            </w:pPr>
            <w:r w:rsidRPr="0037038C">
              <w:rPr>
                <w:sz w:val="22"/>
              </w:rPr>
              <w:t>7,570</w:t>
            </w:r>
          </w:p>
        </w:tc>
        <w:tc>
          <w:tcPr>
            <w:tcW w:w="1558" w:type="dxa"/>
            <w:tcBorders>
              <w:top w:val="single" w:sz="4" w:space="0" w:color="auto"/>
              <w:left w:val="single" w:sz="4" w:space="0" w:color="auto"/>
              <w:bottom w:val="single" w:sz="4" w:space="0" w:color="auto"/>
              <w:right w:val="single" w:sz="4" w:space="0" w:color="auto"/>
            </w:tcBorders>
            <w:vAlign w:val="center"/>
          </w:tcPr>
          <w:p w14:paraId="256C1301" w14:textId="4D9BC86F" w:rsidR="0037038C" w:rsidRPr="0037038C" w:rsidRDefault="0037038C" w:rsidP="0037038C">
            <w:pPr>
              <w:jc w:val="center"/>
              <w:rPr>
                <w:sz w:val="22"/>
              </w:rPr>
            </w:pPr>
            <w:r w:rsidRPr="0037038C">
              <w:rPr>
                <w:sz w:val="22"/>
              </w:rPr>
              <w:t>6,590</w:t>
            </w:r>
          </w:p>
        </w:tc>
        <w:tc>
          <w:tcPr>
            <w:tcW w:w="1559" w:type="dxa"/>
            <w:tcBorders>
              <w:top w:val="single" w:sz="4" w:space="0" w:color="auto"/>
              <w:left w:val="single" w:sz="4" w:space="0" w:color="auto"/>
              <w:bottom w:val="single" w:sz="4" w:space="0" w:color="auto"/>
              <w:right w:val="single" w:sz="4" w:space="0" w:color="auto"/>
            </w:tcBorders>
            <w:vAlign w:val="center"/>
          </w:tcPr>
          <w:p w14:paraId="3E21C243" w14:textId="6C651613" w:rsidR="0037038C" w:rsidRPr="0037038C" w:rsidRDefault="0037038C" w:rsidP="0037038C">
            <w:pPr>
              <w:jc w:val="center"/>
              <w:rPr>
                <w:sz w:val="22"/>
              </w:rPr>
            </w:pPr>
            <w:r w:rsidRPr="0037038C">
              <w:rPr>
                <w:sz w:val="22"/>
              </w:rPr>
              <w:t>5,600</w:t>
            </w:r>
          </w:p>
        </w:tc>
      </w:tr>
      <w:tr w:rsidR="0037038C" w:rsidRPr="0069660B" w14:paraId="49E12D95" w14:textId="77777777" w:rsidTr="0037038C">
        <w:trPr>
          <w:trHeight w:val="288"/>
        </w:trPr>
        <w:tc>
          <w:tcPr>
            <w:tcW w:w="1558" w:type="dxa"/>
            <w:tcBorders>
              <w:top w:val="single" w:sz="4" w:space="0" w:color="auto"/>
              <w:left w:val="single" w:sz="4" w:space="0" w:color="auto"/>
              <w:bottom w:val="single" w:sz="4" w:space="0" w:color="auto"/>
              <w:right w:val="single" w:sz="4" w:space="0" w:color="auto"/>
            </w:tcBorders>
            <w:vAlign w:val="center"/>
            <w:hideMark/>
          </w:tcPr>
          <w:p w14:paraId="4C568C9B" w14:textId="77777777" w:rsidR="0037038C" w:rsidRPr="0069660B" w:rsidRDefault="0037038C" w:rsidP="0037038C">
            <w:pPr>
              <w:jc w:val="center"/>
              <w:rPr>
                <w:sz w:val="22"/>
              </w:rPr>
            </w:pPr>
            <w:r w:rsidRPr="0069660B">
              <w:rPr>
                <w:sz w:val="22"/>
              </w:rPr>
              <w:t>2010</w:t>
            </w:r>
          </w:p>
        </w:tc>
        <w:tc>
          <w:tcPr>
            <w:tcW w:w="1558" w:type="dxa"/>
            <w:tcBorders>
              <w:top w:val="single" w:sz="4" w:space="0" w:color="auto"/>
              <w:left w:val="single" w:sz="4" w:space="0" w:color="auto"/>
              <w:bottom w:val="single" w:sz="4" w:space="0" w:color="auto"/>
              <w:right w:val="single" w:sz="4" w:space="0" w:color="auto"/>
            </w:tcBorders>
            <w:vAlign w:val="center"/>
          </w:tcPr>
          <w:p w14:paraId="2F5CEBA7" w14:textId="7D0CC93D" w:rsidR="0037038C" w:rsidRPr="0037038C" w:rsidRDefault="0037038C" w:rsidP="0037038C">
            <w:pPr>
              <w:jc w:val="center"/>
              <w:rPr>
                <w:sz w:val="22"/>
              </w:rPr>
            </w:pPr>
            <w:r w:rsidRPr="0037038C">
              <w:rPr>
                <w:sz w:val="22"/>
              </w:rPr>
              <w:t>27,370</w:t>
            </w:r>
          </w:p>
        </w:tc>
        <w:tc>
          <w:tcPr>
            <w:tcW w:w="1559" w:type="dxa"/>
            <w:tcBorders>
              <w:top w:val="single" w:sz="4" w:space="0" w:color="auto"/>
              <w:left w:val="single" w:sz="4" w:space="0" w:color="auto"/>
              <w:bottom w:val="single" w:sz="4" w:space="0" w:color="auto"/>
              <w:right w:val="single" w:sz="4" w:space="0" w:color="auto"/>
            </w:tcBorders>
            <w:vAlign w:val="center"/>
          </w:tcPr>
          <w:p w14:paraId="2D80758D" w14:textId="6E91308E" w:rsidR="0037038C" w:rsidRPr="0037038C" w:rsidRDefault="0037038C" w:rsidP="0037038C">
            <w:pPr>
              <w:jc w:val="center"/>
              <w:rPr>
                <w:sz w:val="22"/>
              </w:rPr>
            </w:pPr>
            <w:r w:rsidRPr="0037038C">
              <w:rPr>
                <w:sz w:val="22"/>
              </w:rPr>
              <w:t>20,359</w:t>
            </w:r>
          </w:p>
        </w:tc>
        <w:tc>
          <w:tcPr>
            <w:tcW w:w="1558" w:type="dxa"/>
            <w:tcBorders>
              <w:top w:val="single" w:sz="4" w:space="0" w:color="auto"/>
              <w:left w:val="single" w:sz="4" w:space="0" w:color="auto"/>
              <w:bottom w:val="single" w:sz="4" w:space="0" w:color="auto"/>
              <w:right w:val="single" w:sz="4" w:space="0" w:color="auto"/>
            </w:tcBorders>
            <w:vAlign w:val="center"/>
          </w:tcPr>
          <w:p w14:paraId="1AC93B3D" w14:textId="53009A1E" w:rsidR="0037038C" w:rsidRPr="0037038C" w:rsidRDefault="0037038C" w:rsidP="0037038C">
            <w:pPr>
              <w:jc w:val="center"/>
              <w:rPr>
                <w:sz w:val="22"/>
              </w:rPr>
            </w:pPr>
            <w:r w:rsidRPr="0037038C">
              <w:rPr>
                <w:sz w:val="22"/>
              </w:rPr>
              <w:t>16,200</w:t>
            </w:r>
          </w:p>
        </w:tc>
        <w:tc>
          <w:tcPr>
            <w:tcW w:w="1558" w:type="dxa"/>
            <w:tcBorders>
              <w:top w:val="single" w:sz="4" w:space="0" w:color="auto"/>
              <w:left w:val="single" w:sz="4" w:space="0" w:color="auto"/>
              <w:bottom w:val="single" w:sz="4" w:space="0" w:color="auto"/>
              <w:right w:val="single" w:sz="4" w:space="0" w:color="auto"/>
            </w:tcBorders>
            <w:vAlign w:val="center"/>
          </w:tcPr>
          <w:p w14:paraId="34F25745" w14:textId="59254557" w:rsidR="0037038C" w:rsidRPr="0037038C" w:rsidRDefault="0037038C" w:rsidP="0037038C">
            <w:pPr>
              <w:jc w:val="center"/>
              <w:rPr>
                <w:sz w:val="22"/>
              </w:rPr>
            </w:pPr>
            <w:r w:rsidRPr="0037038C">
              <w:rPr>
                <w:sz w:val="22"/>
              </w:rPr>
              <w:t>7,290</w:t>
            </w:r>
          </w:p>
        </w:tc>
        <w:tc>
          <w:tcPr>
            <w:tcW w:w="1559" w:type="dxa"/>
            <w:tcBorders>
              <w:top w:val="single" w:sz="4" w:space="0" w:color="auto"/>
              <w:left w:val="single" w:sz="4" w:space="0" w:color="auto"/>
              <w:bottom w:val="single" w:sz="4" w:space="0" w:color="auto"/>
              <w:right w:val="single" w:sz="4" w:space="0" w:color="auto"/>
            </w:tcBorders>
            <w:vAlign w:val="center"/>
          </w:tcPr>
          <w:p w14:paraId="500AD02D" w14:textId="05E20FA6" w:rsidR="0037038C" w:rsidRPr="0037038C" w:rsidRDefault="0037038C" w:rsidP="0037038C">
            <w:pPr>
              <w:jc w:val="center"/>
              <w:rPr>
                <w:sz w:val="22"/>
              </w:rPr>
            </w:pPr>
            <w:r w:rsidRPr="0037038C">
              <w:rPr>
                <w:sz w:val="22"/>
              </w:rPr>
              <w:t>6,670</w:t>
            </w:r>
          </w:p>
        </w:tc>
      </w:tr>
      <w:tr w:rsidR="0037038C" w:rsidRPr="0069660B" w14:paraId="15AF785B" w14:textId="77777777" w:rsidTr="0037038C">
        <w:trPr>
          <w:trHeight w:val="288"/>
        </w:trPr>
        <w:tc>
          <w:tcPr>
            <w:tcW w:w="1558" w:type="dxa"/>
            <w:tcBorders>
              <w:top w:val="single" w:sz="4" w:space="0" w:color="auto"/>
              <w:left w:val="single" w:sz="4" w:space="0" w:color="auto"/>
              <w:bottom w:val="single" w:sz="4" w:space="0" w:color="auto"/>
              <w:right w:val="single" w:sz="4" w:space="0" w:color="auto"/>
            </w:tcBorders>
            <w:vAlign w:val="center"/>
            <w:hideMark/>
          </w:tcPr>
          <w:p w14:paraId="5E9E81CC" w14:textId="77777777" w:rsidR="0037038C" w:rsidRPr="0069660B" w:rsidRDefault="0037038C" w:rsidP="0037038C">
            <w:pPr>
              <w:jc w:val="center"/>
              <w:rPr>
                <w:sz w:val="22"/>
              </w:rPr>
            </w:pPr>
            <w:r w:rsidRPr="0069660B">
              <w:rPr>
                <w:sz w:val="22"/>
              </w:rPr>
              <w:t>2011</w:t>
            </w:r>
          </w:p>
        </w:tc>
        <w:tc>
          <w:tcPr>
            <w:tcW w:w="1558" w:type="dxa"/>
            <w:tcBorders>
              <w:top w:val="single" w:sz="4" w:space="0" w:color="auto"/>
              <w:left w:val="single" w:sz="4" w:space="0" w:color="auto"/>
              <w:bottom w:val="single" w:sz="4" w:space="0" w:color="auto"/>
              <w:right w:val="single" w:sz="4" w:space="0" w:color="auto"/>
            </w:tcBorders>
            <w:vAlign w:val="center"/>
          </w:tcPr>
          <w:p w14:paraId="01E652B1" w14:textId="4C7EFC24" w:rsidR="0037038C" w:rsidRPr="0037038C" w:rsidRDefault="0037038C" w:rsidP="0037038C">
            <w:pPr>
              <w:jc w:val="center"/>
              <w:rPr>
                <w:sz w:val="22"/>
              </w:rPr>
            </w:pPr>
            <w:r w:rsidRPr="0037038C">
              <w:rPr>
                <w:sz w:val="22"/>
              </w:rPr>
              <w:t>79,310</w:t>
            </w:r>
          </w:p>
        </w:tc>
        <w:tc>
          <w:tcPr>
            <w:tcW w:w="1559" w:type="dxa"/>
            <w:tcBorders>
              <w:top w:val="single" w:sz="4" w:space="0" w:color="auto"/>
              <w:left w:val="single" w:sz="4" w:space="0" w:color="auto"/>
              <w:bottom w:val="single" w:sz="4" w:space="0" w:color="auto"/>
              <w:right w:val="single" w:sz="4" w:space="0" w:color="auto"/>
            </w:tcBorders>
            <w:vAlign w:val="center"/>
          </w:tcPr>
          <w:p w14:paraId="5B98D27C" w14:textId="3E9BCAB1" w:rsidR="0037038C" w:rsidRPr="0037038C" w:rsidRDefault="0037038C" w:rsidP="0037038C">
            <w:pPr>
              <w:jc w:val="center"/>
              <w:rPr>
                <w:sz w:val="22"/>
              </w:rPr>
            </w:pPr>
            <w:r w:rsidRPr="0037038C">
              <w:rPr>
                <w:sz w:val="22"/>
              </w:rPr>
              <w:t>42,631</w:t>
            </w:r>
          </w:p>
        </w:tc>
        <w:tc>
          <w:tcPr>
            <w:tcW w:w="1558" w:type="dxa"/>
            <w:tcBorders>
              <w:top w:val="single" w:sz="4" w:space="0" w:color="auto"/>
              <w:left w:val="single" w:sz="4" w:space="0" w:color="auto"/>
              <w:bottom w:val="single" w:sz="4" w:space="0" w:color="auto"/>
              <w:right w:val="single" w:sz="4" w:space="0" w:color="auto"/>
            </w:tcBorders>
            <w:vAlign w:val="center"/>
          </w:tcPr>
          <w:p w14:paraId="7BFF1322" w14:textId="79BBCB6D" w:rsidR="0037038C" w:rsidRPr="0037038C" w:rsidRDefault="0037038C" w:rsidP="0037038C">
            <w:pPr>
              <w:jc w:val="center"/>
              <w:rPr>
                <w:sz w:val="22"/>
              </w:rPr>
            </w:pPr>
            <w:r w:rsidRPr="0037038C">
              <w:rPr>
                <w:sz w:val="22"/>
              </w:rPr>
              <w:t>26,230</w:t>
            </w:r>
          </w:p>
        </w:tc>
        <w:tc>
          <w:tcPr>
            <w:tcW w:w="1558" w:type="dxa"/>
            <w:tcBorders>
              <w:top w:val="single" w:sz="4" w:space="0" w:color="auto"/>
              <w:left w:val="single" w:sz="4" w:space="0" w:color="auto"/>
              <w:bottom w:val="single" w:sz="4" w:space="0" w:color="auto"/>
              <w:right w:val="single" w:sz="4" w:space="0" w:color="auto"/>
            </w:tcBorders>
            <w:vAlign w:val="center"/>
          </w:tcPr>
          <w:p w14:paraId="038E0076" w14:textId="347820B7" w:rsidR="0037038C" w:rsidRPr="0037038C" w:rsidRDefault="0037038C" w:rsidP="0037038C">
            <w:pPr>
              <w:jc w:val="center"/>
              <w:rPr>
                <w:sz w:val="22"/>
              </w:rPr>
            </w:pPr>
            <w:r w:rsidRPr="0037038C">
              <w:rPr>
                <w:sz w:val="22"/>
              </w:rPr>
              <w:t>2,740</w:t>
            </w:r>
          </w:p>
        </w:tc>
        <w:tc>
          <w:tcPr>
            <w:tcW w:w="1559" w:type="dxa"/>
            <w:tcBorders>
              <w:top w:val="single" w:sz="4" w:space="0" w:color="auto"/>
              <w:left w:val="single" w:sz="4" w:space="0" w:color="auto"/>
              <w:bottom w:val="single" w:sz="4" w:space="0" w:color="auto"/>
              <w:right w:val="single" w:sz="4" w:space="0" w:color="auto"/>
            </w:tcBorders>
            <w:vAlign w:val="center"/>
          </w:tcPr>
          <w:p w14:paraId="79B451B5" w14:textId="7F8BD9BA" w:rsidR="0037038C" w:rsidRPr="0037038C" w:rsidRDefault="0037038C" w:rsidP="0037038C">
            <w:pPr>
              <w:jc w:val="center"/>
              <w:rPr>
                <w:sz w:val="22"/>
              </w:rPr>
            </w:pPr>
            <w:r w:rsidRPr="0037038C">
              <w:rPr>
                <w:sz w:val="22"/>
              </w:rPr>
              <w:t>2,470</w:t>
            </w:r>
          </w:p>
        </w:tc>
      </w:tr>
      <w:tr w:rsidR="0037038C" w:rsidRPr="0069660B" w14:paraId="1AC3DB97" w14:textId="77777777" w:rsidTr="0037038C">
        <w:trPr>
          <w:trHeight w:val="288"/>
        </w:trPr>
        <w:tc>
          <w:tcPr>
            <w:tcW w:w="1558" w:type="dxa"/>
            <w:tcBorders>
              <w:top w:val="single" w:sz="4" w:space="0" w:color="auto"/>
              <w:left w:val="single" w:sz="4" w:space="0" w:color="auto"/>
              <w:bottom w:val="single" w:sz="4" w:space="0" w:color="auto"/>
              <w:right w:val="single" w:sz="4" w:space="0" w:color="auto"/>
            </w:tcBorders>
            <w:vAlign w:val="center"/>
            <w:hideMark/>
          </w:tcPr>
          <w:p w14:paraId="07A8E83E" w14:textId="77777777" w:rsidR="0037038C" w:rsidRPr="0069660B" w:rsidRDefault="0037038C" w:rsidP="0037038C">
            <w:pPr>
              <w:jc w:val="center"/>
              <w:rPr>
                <w:sz w:val="22"/>
              </w:rPr>
            </w:pPr>
            <w:r w:rsidRPr="0069660B">
              <w:rPr>
                <w:sz w:val="22"/>
              </w:rPr>
              <w:t>2012</w:t>
            </w:r>
          </w:p>
        </w:tc>
        <w:tc>
          <w:tcPr>
            <w:tcW w:w="1558" w:type="dxa"/>
            <w:tcBorders>
              <w:top w:val="single" w:sz="4" w:space="0" w:color="auto"/>
              <w:left w:val="single" w:sz="4" w:space="0" w:color="auto"/>
              <w:bottom w:val="single" w:sz="4" w:space="0" w:color="auto"/>
              <w:right w:val="single" w:sz="4" w:space="0" w:color="auto"/>
            </w:tcBorders>
            <w:vAlign w:val="center"/>
          </w:tcPr>
          <w:p w14:paraId="75E25A4D" w14:textId="332CBF30" w:rsidR="0037038C" w:rsidRPr="0037038C" w:rsidRDefault="0037038C" w:rsidP="0037038C">
            <w:pPr>
              <w:jc w:val="center"/>
              <w:rPr>
                <w:sz w:val="22"/>
              </w:rPr>
            </w:pPr>
            <w:r w:rsidRPr="0037038C">
              <w:rPr>
                <w:sz w:val="22"/>
              </w:rPr>
              <w:t>26,200</w:t>
            </w:r>
          </w:p>
        </w:tc>
        <w:tc>
          <w:tcPr>
            <w:tcW w:w="1559" w:type="dxa"/>
            <w:tcBorders>
              <w:top w:val="single" w:sz="4" w:space="0" w:color="auto"/>
              <w:left w:val="single" w:sz="4" w:space="0" w:color="auto"/>
              <w:bottom w:val="single" w:sz="4" w:space="0" w:color="auto"/>
              <w:right w:val="single" w:sz="4" w:space="0" w:color="auto"/>
            </w:tcBorders>
            <w:vAlign w:val="center"/>
          </w:tcPr>
          <w:p w14:paraId="0E89D065" w14:textId="56AF6FC6" w:rsidR="0037038C" w:rsidRPr="0037038C" w:rsidRDefault="0037038C" w:rsidP="0037038C">
            <w:pPr>
              <w:jc w:val="center"/>
              <w:rPr>
                <w:sz w:val="22"/>
              </w:rPr>
            </w:pPr>
            <w:r w:rsidRPr="0037038C">
              <w:rPr>
                <w:sz w:val="22"/>
              </w:rPr>
              <w:t>39,536</w:t>
            </w:r>
          </w:p>
        </w:tc>
        <w:tc>
          <w:tcPr>
            <w:tcW w:w="1558" w:type="dxa"/>
            <w:tcBorders>
              <w:top w:val="single" w:sz="4" w:space="0" w:color="auto"/>
              <w:left w:val="single" w:sz="4" w:space="0" w:color="auto"/>
              <w:bottom w:val="single" w:sz="4" w:space="0" w:color="auto"/>
              <w:right w:val="single" w:sz="4" w:space="0" w:color="auto"/>
            </w:tcBorders>
            <w:vAlign w:val="center"/>
          </w:tcPr>
          <w:p w14:paraId="07AF3CA1" w14:textId="235FE8E1" w:rsidR="0037038C" w:rsidRPr="0037038C" w:rsidRDefault="0037038C" w:rsidP="0037038C">
            <w:pPr>
              <w:jc w:val="center"/>
              <w:rPr>
                <w:sz w:val="22"/>
              </w:rPr>
            </w:pPr>
            <w:r w:rsidRPr="0037038C">
              <w:rPr>
                <w:sz w:val="22"/>
              </w:rPr>
              <w:t>24,000</w:t>
            </w:r>
          </w:p>
        </w:tc>
        <w:tc>
          <w:tcPr>
            <w:tcW w:w="1558" w:type="dxa"/>
            <w:tcBorders>
              <w:top w:val="single" w:sz="4" w:space="0" w:color="auto"/>
              <w:left w:val="single" w:sz="4" w:space="0" w:color="auto"/>
              <w:bottom w:val="single" w:sz="4" w:space="0" w:color="auto"/>
              <w:right w:val="single" w:sz="4" w:space="0" w:color="auto"/>
            </w:tcBorders>
            <w:vAlign w:val="center"/>
          </w:tcPr>
          <w:p w14:paraId="68B59B51" w14:textId="3175D36F" w:rsidR="0037038C" w:rsidRPr="0037038C" w:rsidRDefault="0037038C" w:rsidP="0037038C">
            <w:pPr>
              <w:jc w:val="center"/>
              <w:rPr>
                <w:sz w:val="22"/>
              </w:rPr>
            </w:pPr>
            <w:r w:rsidRPr="0037038C">
              <w:rPr>
                <w:sz w:val="22"/>
              </w:rPr>
              <w:t>9,210</w:t>
            </w:r>
          </w:p>
        </w:tc>
        <w:tc>
          <w:tcPr>
            <w:tcW w:w="1559" w:type="dxa"/>
            <w:tcBorders>
              <w:top w:val="single" w:sz="4" w:space="0" w:color="auto"/>
              <w:left w:val="single" w:sz="4" w:space="0" w:color="auto"/>
              <w:bottom w:val="single" w:sz="4" w:space="0" w:color="auto"/>
              <w:right w:val="single" w:sz="4" w:space="0" w:color="auto"/>
            </w:tcBorders>
            <w:vAlign w:val="center"/>
          </w:tcPr>
          <w:p w14:paraId="1A14606C" w14:textId="103D1F0C" w:rsidR="0037038C" w:rsidRPr="0037038C" w:rsidRDefault="0037038C" w:rsidP="0037038C">
            <w:pPr>
              <w:jc w:val="center"/>
              <w:rPr>
                <w:sz w:val="22"/>
              </w:rPr>
            </w:pPr>
            <w:r w:rsidRPr="0037038C">
              <w:rPr>
                <w:sz w:val="22"/>
              </w:rPr>
              <w:t>8,030</w:t>
            </w:r>
          </w:p>
        </w:tc>
      </w:tr>
      <w:tr w:rsidR="0037038C" w:rsidRPr="0069660B" w14:paraId="269C1F4D" w14:textId="77777777" w:rsidTr="0037038C">
        <w:trPr>
          <w:trHeight w:val="288"/>
        </w:trPr>
        <w:tc>
          <w:tcPr>
            <w:tcW w:w="1558" w:type="dxa"/>
            <w:tcBorders>
              <w:top w:val="single" w:sz="4" w:space="0" w:color="auto"/>
              <w:left w:val="single" w:sz="4" w:space="0" w:color="auto"/>
              <w:bottom w:val="single" w:sz="4" w:space="0" w:color="auto"/>
              <w:right w:val="single" w:sz="4" w:space="0" w:color="auto"/>
            </w:tcBorders>
            <w:vAlign w:val="center"/>
            <w:hideMark/>
          </w:tcPr>
          <w:p w14:paraId="66CBE6DA" w14:textId="77777777" w:rsidR="0037038C" w:rsidRPr="0069660B" w:rsidRDefault="0037038C" w:rsidP="0037038C">
            <w:pPr>
              <w:jc w:val="center"/>
              <w:rPr>
                <w:sz w:val="22"/>
              </w:rPr>
            </w:pPr>
            <w:r w:rsidRPr="0069660B">
              <w:rPr>
                <w:sz w:val="22"/>
              </w:rPr>
              <w:t>2013</w:t>
            </w:r>
          </w:p>
        </w:tc>
        <w:tc>
          <w:tcPr>
            <w:tcW w:w="1558" w:type="dxa"/>
            <w:tcBorders>
              <w:top w:val="single" w:sz="4" w:space="0" w:color="auto"/>
              <w:left w:val="single" w:sz="4" w:space="0" w:color="auto"/>
              <w:bottom w:val="single" w:sz="4" w:space="0" w:color="auto"/>
              <w:right w:val="single" w:sz="4" w:space="0" w:color="auto"/>
            </w:tcBorders>
            <w:vAlign w:val="center"/>
          </w:tcPr>
          <w:p w14:paraId="37641F79" w14:textId="13DCBB0C" w:rsidR="0037038C" w:rsidRPr="0037038C" w:rsidRDefault="0037038C" w:rsidP="0037038C">
            <w:pPr>
              <w:jc w:val="center"/>
              <w:rPr>
                <w:sz w:val="22"/>
              </w:rPr>
            </w:pPr>
            <w:r w:rsidRPr="0037038C">
              <w:rPr>
                <w:sz w:val="22"/>
              </w:rPr>
              <w:t>17,940</w:t>
            </w:r>
          </w:p>
        </w:tc>
        <w:tc>
          <w:tcPr>
            <w:tcW w:w="1559" w:type="dxa"/>
            <w:tcBorders>
              <w:top w:val="single" w:sz="4" w:space="0" w:color="auto"/>
              <w:left w:val="single" w:sz="4" w:space="0" w:color="auto"/>
              <w:bottom w:val="single" w:sz="4" w:space="0" w:color="auto"/>
              <w:right w:val="single" w:sz="4" w:space="0" w:color="auto"/>
            </w:tcBorders>
            <w:vAlign w:val="center"/>
          </w:tcPr>
          <w:p w14:paraId="70563EAB" w14:textId="16006ADE" w:rsidR="0037038C" w:rsidRPr="0037038C" w:rsidRDefault="0037038C" w:rsidP="0037038C">
            <w:pPr>
              <w:jc w:val="center"/>
              <w:rPr>
                <w:sz w:val="22"/>
              </w:rPr>
            </w:pPr>
            <w:r w:rsidRPr="0037038C">
              <w:rPr>
                <w:sz w:val="22"/>
              </w:rPr>
              <w:t>23,281</w:t>
            </w:r>
          </w:p>
        </w:tc>
        <w:tc>
          <w:tcPr>
            <w:tcW w:w="1558" w:type="dxa"/>
            <w:tcBorders>
              <w:top w:val="single" w:sz="4" w:space="0" w:color="auto"/>
              <w:left w:val="single" w:sz="4" w:space="0" w:color="auto"/>
              <w:bottom w:val="single" w:sz="4" w:space="0" w:color="auto"/>
              <w:right w:val="single" w:sz="4" w:space="0" w:color="auto"/>
            </w:tcBorders>
            <w:vAlign w:val="center"/>
          </w:tcPr>
          <w:p w14:paraId="17183C7A" w14:textId="29108045" w:rsidR="0037038C" w:rsidRPr="0037038C" w:rsidRDefault="0037038C" w:rsidP="0037038C">
            <w:pPr>
              <w:jc w:val="center"/>
              <w:rPr>
                <w:sz w:val="22"/>
              </w:rPr>
            </w:pPr>
            <w:r w:rsidRPr="0037038C">
              <w:rPr>
                <w:sz w:val="22"/>
              </w:rPr>
              <w:t>12,330</w:t>
            </w:r>
          </w:p>
        </w:tc>
        <w:tc>
          <w:tcPr>
            <w:tcW w:w="1558" w:type="dxa"/>
            <w:tcBorders>
              <w:top w:val="single" w:sz="4" w:space="0" w:color="auto"/>
              <w:left w:val="single" w:sz="4" w:space="0" w:color="auto"/>
              <w:bottom w:val="single" w:sz="4" w:space="0" w:color="auto"/>
              <w:right w:val="single" w:sz="4" w:space="0" w:color="auto"/>
            </w:tcBorders>
            <w:vAlign w:val="center"/>
          </w:tcPr>
          <w:p w14:paraId="17D4CDCB" w14:textId="7915A4B0" w:rsidR="0037038C" w:rsidRPr="0037038C" w:rsidRDefault="0037038C" w:rsidP="0037038C">
            <w:pPr>
              <w:jc w:val="center"/>
              <w:rPr>
                <w:sz w:val="22"/>
              </w:rPr>
            </w:pPr>
            <w:r w:rsidRPr="0037038C">
              <w:rPr>
                <w:sz w:val="22"/>
              </w:rPr>
              <w:t>6,600</w:t>
            </w:r>
          </w:p>
        </w:tc>
        <w:tc>
          <w:tcPr>
            <w:tcW w:w="1559" w:type="dxa"/>
            <w:tcBorders>
              <w:top w:val="single" w:sz="4" w:space="0" w:color="auto"/>
              <w:left w:val="single" w:sz="4" w:space="0" w:color="auto"/>
              <w:bottom w:val="single" w:sz="4" w:space="0" w:color="auto"/>
              <w:right w:val="single" w:sz="4" w:space="0" w:color="auto"/>
            </w:tcBorders>
            <w:vAlign w:val="center"/>
          </w:tcPr>
          <w:p w14:paraId="59E7A46F" w14:textId="4E5BFB08" w:rsidR="0037038C" w:rsidRPr="0037038C" w:rsidRDefault="0037038C" w:rsidP="0037038C">
            <w:pPr>
              <w:jc w:val="center"/>
              <w:rPr>
                <w:sz w:val="22"/>
              </w:rPr>
            </w:pPr>
            <w:r w:rsidRPr="0037038C">
              <w:rPr>
                <w:sz w:val="22"/>
              </w:rPr>
              <w:t>5,590</w:t>
            </w:r>
          </w:p>
        </w:tc>
      </w:tr>
      <w:tr w:rsidR="0037038C" w:rsidRPr="0069660B" w14:paraId="3A645B8C" w14:textId="77777777" w:rsidTr="0037038C">
        <w:trPr>
          <w:trHeight w:val="288"/>
        </w:trPr>
        <w:tc>
          <w:tcPr>
            <w:tcW w:w="1558" w:type="dxa"/>
            <w:tcBorders>
              <w:top w:val="single" w:sz="4" w:space="0" w:color="auto"/>
              <w:left w:val="single" w:sz="4" w:space="0" w:color="auto"/>
              <w:bottom w:val="single" w:sz="4" w:space="0" w:color="auto"/>
              <w:right w:val="single" w:sz="4" w:space="0" w:color="auto"/>
            </w:tcBorders>
            <w:vAlign w:val="center"/>
            <w:hideMark/>
          </w:tcPr>
          <w:p w14:paraId="4E6992CE" w14:textId="77777777" w:rsidR="0037038C" w:rsidRPr="0069660B" w:rsidRDefault="0037038C" w:rsidP="0037038C">
            <w:pPr>
              <w:jc w:val="center"/>
              <w:rPr>
                <w:sz w:val="22"/>
              </w:rPr>
            </w:pPr>
            <w:r w:rsidRPr="0069660B">
              <w:rPr>
                <w:sz w:val="22"/>
              </w:rPr>
              <w:t>2014</w:t>
            </w:r>
          </w:p>
        </w:tc>
        <w:tc>
          <w:tcPr>
            <w:tcW w:w="1558" w:type="dxa"/>
            <w:tcBorders>
              <w:top w:val="single" w:sz="4" w:space="0" w:color="auto"/>
              <w:left w:val="single" w:sz="4" w:space="0" w:color="auto"/>
              <w:bottom w:val="single" w:sz="4" w:space="0" w:color="auto"/>
              <w:right w:val="single" w:sz="4" w:space="0" w:color="auto"/>
            </w:tcBorders>
            <w:vAlign w:val="center"/>
          </w:tcPr>
          <w:p w14:paraId="4331CDC4" w14:textId="39BA4EED" w:rsidR="0037038C" w:rsidRPr="0037038C" w:rsidRDefault="0037038C" w:rsidP="0037038C">
            <w:pPr>
              <w:jc w:val="center"/>
              <w:rPr>
                <w:sz w:val="22"/>
              </w:rPr>
            </w:pPr>
            <w:r w:rsidRPr="0037038C">
              <w:rPr>
                <w:sz w:val="22"/>
              </w:rPr>
              <w:t>16,780</w:t>
            </w:r>
          </w:p>
        </w:tc>
        <w:tc>
          <w:tcPr>
            <w:tcW w:w="1559" w:type="dxa"/>
            <w:tcBorders>
              <w:top w:val="single" w:sz="4" w:space="0" w:color="auto"/>
              <w:left w:val="single" w:sz="4" w:space="0" w:color="auto"/>
              <w:bottom w:val="single" w:sz="4" w:space="0" w:color="auto"/>
              <w:right w:val="single" w:sz="4" w:space="0" w:color="auto"/>
            </w:tcBorders>
            <w:vAlign w:val="center"/>
          </w:tcPr>
          <w:p w14:paraId="529AEFB6" w14:textId="3B72BEF4" w:rsidR="0037038C" w:rsidRPr="0037038C" w:rsidRDefault="0037038C" w:rsidP="0037038C">
            <w:pPr>
              <w:jc w:val="center"/>
              <w:rPr>
                <w:sz w:val="22"/>
              </w:rPr>
            </w:pPr>
            <w:r w:rsidRPr="0037038C">
              <w:rPr>
                <w:sz w:val="22"/>
              </w:rPr>
              <w:t>21,481</w:t>
            </w:r>
          </w:p>
        </w:tc>
        <w:tc>
          <w:tcPr>
            <w:tcW w:w="1558" w:type="dxa"/>
            <w:tcBorders>
              <w:top w:val="single" w:sz="4" w:space="0" w:color="auto"/>
              <w:left w:val="single" w:sz="4" w:space="0" w:color="auto"/>
              <w:bottom w:val="single" w:sz="4" w:space="0" w:color="auto"/>
              <w:right w:val="single" w:sz="4" w:space="0" w:color="auto"/>
            </w:tcBorders>
            <w:vAlign w:val="center"/>
          </w:tcPr>
          <w:p w14:paraId="68AFA561" w14:textId="3C145CD9" w:rsidR="0037038C" w:rsidRPr="0037038C" w:rsidRDefault="0037038C" w:rsidP="0037038C">
            <w:pPr>
              <w:jc w:val="center"/>
              <w:rPr>
                <w:sz w:val="22"/>
              </w:rPr>
            </w:pPr>
            <w:r w:rsidRPr="0037038C">
              <w:rPr>
                <w:sz w:val="22"/>
              </w:rPr>
              <w:t>17,130</w:t>
            </w:r>
          </w:p>
        </w:tc>
        <w:tc>
          <w:tcPr>
            <w:tcW w:w="1558" w:type="dxa"/>
            <w:tcBorders>
              <w:top w:val="single" w:sz="4" w:space="0" w:color="auto"/>
              <w:left w:val="single" w:sz="4" w:space="0" w:color="auto"/>
              <w:bottom w:val="single" w:sz="4" w:space="0" w:color="auto"/>
              <w:right w:val="single" w:sz="4" w:space="0" w:color="auto"/>
            </w:tcBorders>
            <w:vAlign w:val="center"/>
          </w:tcPr>
          <w:p w14:paraId="35685786" w14:textId="743AD23C" w:rsidR="0037038C" w:rsidRPr="0037038C" w:rsidRDefault="0037038C" w:rsidP="0037038C">
            <w:pPr>
              <w:jc w:val="center"/>
              <w:rPr>
                <w:sz w:val="22"/>
              </w:rPr>
            </w:pPr>
            <w:r w:rsidRPr="0037038C">
              <w:rPr>
                <w:sz w:val="22"/>
              </w:rPr>
              <w:t>12,930</w:t>
            </w:r>
          </w:p>
        </w:tc>
        <w:tc>
          <w:tcPr>
            <w:tcW w:w="1559" w:type="dxa"/>
            <w:tcBorders>
              <w:top w:val="single" w:sz="4" w:space="0" w:color="auto"/>
              <w:left w:val="single" w:sz="4" w:space="0" w:color="auto"/>
              <w:bottom w:val="single" w:sz="4" w:space="0" w:color="auto"/>
              <w:right w:val="single" w:sz="4" w:space="0" w:color="auto"/>
            </w:tcBorders>
            <w:vAlign w:val="center"/>
          </w:tcPr>
          <w:p w14:paraId="7EF28EFC" w14:textId="0FA04D19" w:rsidR="0037038C" w:rsidRPr="0037038C" w:rsidRDefault="0037038C" w:rsidP="0037038C">
            <w:pPr>
              <w:jc w:val="center"/>
              <w:rPr>
                <w:sz w:val="22"/>
              </w:rPr>
            </w:pPr>
            <w:r w:rsidRPr="0037038C">
              <w:rPr>
                <w:sz w:val="22"/>
              </w:rPr>
              <w:t>10,770</w:t>
            </w:r>
          </w:p>
        </w:tc>
      </w:tr>
      <w:tr w:rsidR="0037038C" w:rsidRPr="0069660B" w14:paraId="5BA4129C" w14:textId="77777777" w:rsidTr="0037038C">
        <w:trPr>
          <w:trHeight w:val="288"/>
        </w:trPr>
        <w:tc>
          <w:tcPr>
            <w:tcW w:w="1558" w:type="dxa"/>
            <w:tcBorders>
              <w:top w:val="single" w:sz="4" w:space="0" w:color="auto"/>
              <w:left w:val="single" w:sz="4" w:space="0" w:color="auto"/>
              <w:bottom w:val="single" w:sz="4" w:space="0" w:color="auto"/>
              <w:right w:val="single" w:sz="4" w:space="0" w:color="auto"/>
            </w:tcBorders>
            <w:vAlign w:val="center"/>
            <w:hideMark/>
          </w:tcPr>
          <w:p w14:paraId="3718E965" w14:textId="77777777" w:rsidR="0037038C" w:rsidRPr="0069660B" w:rsidRDefault="0037038C" w:rsidP="0037038C">
            <w:pPr>
              <w:jc w:val="center"/>
              <w:rPr>
                <w:sz w:val="22"/>
              </w:rPr>
            </w:pPr>
            <w:r w:rsidRPr="0069660B">
              <w:rPr>
                <w:sz w:val="22"/>
              </w:rPr>
              <w:t>2015</w:t>
            </w:r>
          </w:p>
        </w:tc>
        <w:tc>
          <w:tcPr>
            <w:tcW w:w="1558" w:type="dxa"/>
            <w:tcBorders>
              <w:top w:val="single" w:sz="4" w:space="0" w:color="auto"/>
              <w:left w:val="single" w:sz="4" w:space="0" w:color="auto"/>
              <w:bottom w:val="single" w:sz="4" w:space="0" w:color="auto"/>
              <w:right w:val="single" w:sz="4" w:space="0" w:color="auto"/>
            </w:tcBorders>
            <w:vAlign w:val="center"/>
          </w:tcPr>
          <w:p w14:paraId="51BE91DF" w14:textId="13BA70F5" w:rsidR="0037038C" w:rsidRPr="0037038C" w:rsidRDefault="0037038C" w:rsidP="0037038C">
            <w:pPr>
              <w:jc w:val="center"/>
              <w:rPr>
                <w:sz w:val="22"/>
              </w:rPr>
            </w:pPr>
            <w:r w:rsidRPr="0037038C">
              <w:rPr>
                <w:sz w:val="22"/>
              </w:rPr>
              <w:t>35,200</w:t>
            </w:r>
          </w:p>
        </w:tc>
        <w:tc>
          <w:tcPr>
            <w:tcW w:w="1559" w:type="dxa"/>
            <w:tcBorders>
              <w:top w:val="single" w:sz="4" w:space="0" w:color="auto"/>
              <w:left w:val="single" w:sz="4" w:space="0" w:color="auto"/>
              <w:bottom w:val="single" w:sz="4" w:space="0" w:color="auto"/>
              <w:right w:val="single" w:sz="4" w:space="0" w:color="auto"/>
            </w:tcBorders>
            <w:vAlign w:val="center"/>
          </w:tcPr>
          <w:p w14:paraId="7FE42B3A" w14:textId="728C154F" w:rsidR="0037038C" w:rsidRPr="0037038C" w:rsidRDefault="0037038C" w:rsidP="0037038C">
            <w:pPr>
              <w:jc w:val="center"/>
              <w:rPr>
                <w:sz w:val="22"/>
              </w:rPr>
            </w:pPr>
            <w:r w:rsidRPr="0037038C">
              <w:rPr>
                <w:sz w:val="22"/>
              </w:rPr>
              <w:t>29,401</w:t>
            </w:r>
          </w:p>
        </w:tc>
        <w:tc>
          <w:tcPr>
            <w:tcW w:w="1558" w:type="dxa"/>
            <w:tcBorders>
              <w:top w:val="single" w:sz="4" w:space="0" w:color="auto"/>
              <w:left w:val="single" w:sz="4" w:space="0" w:color="auto"/>
              <w:bottom w:val="single" w:sz="4" w:space="0" w:color="auto"/>
              <w:right w:val="single" w:sz="4" w:space="0" w:color="auto"/>
            </w:tcBorders>
            <w:vAlign w:val="center"/>
          </w:tcPr>
          <w:p w14:paraId="16EEEB1C" w14:textId="031A5B48" w:rsidR="0037038C" w:rsidRPr="0037038C" w:rsidRDefault="0037038C" w:rsidP="0037038C">
            <w:pPr>
              <w:jc w:val="center"/>
              <w:rPr>
                <w:sz w:val="22"/>
              </w:rPr>
            </w:pPr>
            <w:r w:rsidRPr="0037038C">
              <w:rPr>
                <w:sz w:val="22"/>
              </w:rPr>
              <w:t>24,390</w:t>
            </w:r>
          </w:p>
        </w:tc>
        <w:tc>
          <w:tcPr>
            <w:tcW w:w="1558" w:type="dxa"/>
            <w:tcBorders>
              <w:top w:val="single" w:sz="4" w:space="0" w:color="auto"/>
              <w:left w:val="single" w:sz="4" w:space="0" w:color="auto"/>
              <w:bottom w:val="single" w:sz="4" w:space="0" w:color="auto"/>
              <w:right w:val="single" w:sz="4" w:space="0" w:color="auto"/>
            </w:tcBorders>
            <w:vAlign w:val="center"/>
          </w:tcPr>
          <w:p w14:paraId="66BE5581" w14:textId="252C9C12" w:rsidR="0037038C" w:rsidRPr="0037038C" w:rsidRDefault="0037038C" w:rsidP="0037038C">
            <w:pPr>
              <w:jc w:val="center"/>
              <w:rPr>
                <w:sz w:val="22"/>
              </w:rPr>
            </w:pPr>
            <w:r w:rsidRPr="0037038C">
              <w:rPr>
                <w:sz w:val="22"/>
              </w:rPr>
              <w:t>11,080</w:t>
            </w:r>
          </w:p>
        </w:tc>
        <w:tc>
          <w:tcPr>
            <w:tcW w:w="1559" w:type="dxa"/>
            <w:tcBorders>
              <w:top w:val="single" w:sz="4" w:space="0" w:color="auto"/>
              <w:left w:val="single" w:sz="4" w:space="0" w:color="auto"/>
              <w:bottom w:val="single" w:sz="4" w:space="0" w:color="auto"/>
              <w:right w:val="single" w:sz="4" w:space="0" w:color="auto"/>
            </w:tcBorders>
            <w:vAlign w:val="center"/>
          </w:tcPr>
          <w:p w14:paraId="2EE328E1" w14:textId="3B6C19E3" w:rsidR="0037038C" w:rsidRPr="0037038C" w:rsidRDefault="0037038C" w:rsidP="0037038C">
            <w:pPr>
              <w:jc w:val="center"/>
              <w:rPr>
                <w:sz w:val="22"/>
              </w:rPr>
            </w:pPr>
            <w:r w:rsidRPr="0037038C">
              <w:rPr>
                <w:sz w:val="22"/>
              </w:rPr>
              <w:t>10,230</w:t>
            </w:r>
          </w:p>
        </w:tc>
      </w:tr>
      <w:tr w:rsidR="0037038C" w:rsidRPr="0069660B" w14:paraId="76FBF968" w14:textId="77777777" w:rsidTr="0037038C">
        <w:trPr>
          <w:trHeight w:val="288"/>
        </w:trPr>
        <w:tc>
          <w:tcPr>
            <w:tcW w:w="1558" w:type="dxa"/>
            <w:tcBorders>
              <w:top w:val="single" w:sz="4" w:space="0" w:color="auto"/>
              <w:left w:val="single" w:sz="4" w:space="0" w:color="auto"/>
              <w:bottom w:val="single" w:sz="4" w:space="0" w:color="auto"/>
              <w:right w:val="single" w:sz="4" w:space="0" w:color="auto"/>
            </w:tcBorders>
            <w:vAlign w:val="center"/>
            <w:hideMark/>
          </w:tcPr>
          <w:p w14:paraId="406AC077" w14:textId="77777777" w:rsidR="0037038C" w:rsidRPr="0069660B" w:rsidRDefault="0037038C" w:rsidP="0037038C">
            <w:pPr>
              <w:jc w:val="center"/>
              <w:rPr>
                <w:sz w:val="22"/>
              </w:rPr>
            </w:pPr>
            <w:r w:rsidRPr="0069660B">
              <w:rPr>
                <w:sz w:val="22"/>
              </w:rPr>
              <w:t>2016</w:t>
            </w:r>
          </w:p>
        </w:tc>
        <w:tc>
          <w:tcPr>
            <w:tcW w:w="1558" w:type="dxa"/>
            <w:tcBorders>
              <w:top w:val="single" w:sz="4" w:space="0" w:color="auto"/>
              <w:left w:val="single" w:sz="4" w:space="0" w:color="auto"/>
              <w:bottom w:val="single" w:sz="4" w:space="0" w:color="auto"/>
              <w:right w:val="single" w:sz="4" w:space="0" w:color="auto"/>
            </w:tcBorders>
            <w:vAlign w:val="center"/>
          </w:tcPr>
          <w:p w14:paraId="5A666E3E" w14:textId="3D29DE8D" w:rsidR="0037038C" w:rsidRPr="0037038C" w:rsidRDefault="0037038C" w:rsidP="0037038C">
            <w:pPr>
              <w:jc w:val="center"/>
              <w:rPr>
                <w:sz w:val="22"/>
              </w:rPr>
            </w:pPr>
            <w:r w:rsidRPr="0037038C">
              <w:rPr>
                <w:sz w:val="22"/>
              </w:rPr>
              <w:t>49,870</w:t>
            </w:r>
          </w:p>
        </w:tc>
        <w:tc>
          <w:tcPr>
            <w:tcW w:w="1559" w:type="dxa"/>
            <w:tcBorders>
              <w:top w:val="single" w:sz="4" w:space="0" w:color="auto"/>
              <w:left w:val="single" w:sz="4" w:space="0" w:color="auto"/>
              <w:bottom w:val="single" w:sz="4" w:space="0" w:color="auto"/>
              <w:right w:val="single" w:sz="4" w:space="0" w:color="auto"/>
            </w:tcBorders>
            <w:vAlign w:val="center"/>
          </w:tcPr>
          <w:p w14:paraId="1E6DF062" w14:textId="0A4B8CD6" w:rsidR="0037038C" w:rsidRPr="0037038C" w:rsidRDefault="0037038C" w:rsidP="0037038C">
            <w:pPr>
              <w:jc w:val="center"/>
              <w:rPr>
                <w:sz w:val="22"/>
              </w:rPr>
            </w:pPr>
            <w:r w:rsidRPr="0037038C">
              <w:rPr>
                <w:sz w:val="22"/>
              </w:rPr>
              <w:t>38,579</w:t>
            </w:r>
          </w:p>
        </w:tc>
        <w:tc>
          <w:tcPr>
            <w:tcW w:w="1558" w:type="dxa"/>
            <w:tcBorders>
              <w:top w:val="single" w:sz="4" w:space="0" w:color="auto"/>
              <w:left w:val="single" w:sz="4" w:space="0" w:color="auto"/>
              <w:bottom w:val="single" w:sz="4" w:space="0" w:color="auto"/>
              <w:right w:val="single" w:sz="4" w:space="0" w:color="auto"/>
            </w:tcBorders>
            <w:vAlign w:val="center"/>
          </w:tcPr>
          <w:p w14:paraId="26A038A3" w14:textId="0F669768" w:rsidR="0037038C" w:rsidRPr="0037038C" w:rsidRDefault="0037038C" w:rsidP="0037038C">
            <w:pPr>
              <w:jc w:val="center"/>
              <w:rPr>
                <w:sz w:val="22"/>
              </w:rPr>
            </w:pPr>
            <w:r w:rsidRPr="0037038C">
              <w:rPr>
                <w:sz w:val="22"/>
              </w:rPr>
              <w:t>25,970</w:t>
            </w:r>
          </w:p>
        </w:tc>
        <w:tc>
          <w:tcPr>
            <w:tcW w:w="1558" w:type="dxa"/>
            <w:tcBorders>
              <w:top w:val="single" w:sz="4" w:space="0" w:color="auto"/>
              <w:left w:val="single" w:sz="4" w:space="0" w:color="auto"/>
              <w:bottom w:val="single" w:sz="4" w:space="0" w:color="auto"/>
              <w:right w:val="single" w:sz="4" w:space="0" w:color="auto"/>
            </w:tcBorders>
            <w:vAlign w:val="center"/>
          </w:tcPr>
          <w:p w14:paraId="6BA97F35" w14:textId="6DCB23F4" w:rsidR="0037038C" w:rsidRPr="0037038C" w:rsidRDefault="0037038C" w:rsidP="0037038C">
            <w:pPr>
              <w:jc w:val="center"/>
              <w:rPr>
                <w:sz w:val="22"/>
              </w:rPr>
            </w:pPr>
            <w:r w:rsidRPr="0037038C">
              <w:rPr>
                <w:sz w:val="22"/>
              </w:rPr>
              <w:t>8,400</w:t>
            </w:r>
          </w:p>
        </w:tc>
        <w:tc>
          <w:tcPr>
            <w:tcW w:w="1559" w:type="dxa"/>
            <w:tcBorders>
              <w:top w:val="single" w:sz="4" w:space="0" w:color="auto"/>
              <w:left w:val="single" w:sz="4" w:space="0" w:color="auto"/>
              <w:bottom w:val="single" w:sz="4" w:space="0" w:color="auto"/>
              <w:right w:val="single" w:sz="4" w:space="0" w:color="auto"/>
            </w:tcBorders>
            <w:vAlign w:val="center"/>
          </w:tcPr>
          <w:p w14:paraId="608204B8" w14:textId="252F4A2B" w:rsidR="0037038C" w:rsidRPr="0037038C" w:rsidRDefault="0037038C" w:rsidP="0037038C">
            <w:pPr>
              <w:jc w:val="center"/>
              <w:rPr>
                <w:sz w:val="22"/>
              </w:rPr>
            </w:pPr>
            <w:r w:rsidRPr="0037038C">
              <w:rPr>
                <w:sz w:val="22"/>
              </w:rPr>
              <w:t>7,690</w:t>
            </w:r>
          </w:p>
        </w:tc>
      </w:tr>
      <w:tr w:rsidR="0037038C" w:rsidRPr="0069660B" w14:paraId="2531B03D" w14:textId="77777777" w:rsidTr="0037038C">
        <w:trPr>
          <w:trHeight w:val="288"/>
        </w:trPr>
        <w:tc>
          <w:tcPr>
            <w:tcW w:w="1558" w:type="dxa"/>
            <w:tcBorders>
              <w:top w:val="single" w:sz="4" w:space="0" w:color="auto"/>
              <w:left w:val="single" w:sz="4" w:space="0" w:color="auto"/>
              <w:bottom w:val="single" w:sz="4" w:space="0" w:color="auto"/>
              <w:right w:val="single" w:sz="4" w:space="0" w:color="auto"/>
            </w:tcBorders>
            <w:vAlign w:val="center"/>
            <w:hideMark/>
          </w:tcPr>
          <w:p w14:paraId="3B9C0092" w14:textId="77777777" w:rsidR="0037038C" w:rsidRPr="0069660B" w:rsidRDefault="0037038C" w:rsidP="0037038C">
            <w:pPr>
              <w:jc w:val="center"/>
              <w:rPr>
                <w:sz w:val="22"/>
              </w:rPr>
            </w:pPr>
            <w:r w:rsidRPr="0069660B">
              <w:rPr>
                <w:sz w:val="22"/>
              </w:rPr>
              <w:t>2017</w:t>
            </w:r>
          </w:p>
        </w:tc>
        <w:tc>
          <w:tcPr>
            <w:tcW w:w="1558" w:type="dxa"/>
            <w:tcBorders>
              <w:top w:val="single" w:sz="4" w:space="0" w:color="auto"/>
              <w:left w:val="single" w:sz="4" w:space="0" w:color="auto"/>
              <w:bottom w:val="single" w:sz="4" w:space="0" w:color="auto"/>
              <w:right w:val="single" w:sz="4" w:space="0" w:color="auto"/>
            </w:tcBorders>
            <w:vAlign w:val="center"/>
          </w:tcPr>
          <w:p w14:paraId="6ACEA931" w14:textId="223D1749" w:rsidR="0037038C" w:rsidRPr="0037038C" w:rsidRDefault="0037038C" w:rsidP="0037038C">
            <w:pPr>
              <w:jc w:val="center"/>
              <w:rPr>
                <w:sz w:val="22"/>
              </w:rPr>
            </w:pPr>
            <w:r w:rsidRPr="0037038C">
              <w:rPr>
                <w:sz w:val="22"/>
              </w:rPr>
              <w:t>29,240</w:t>
            </w:r>
          </w:p>
        </w:tc>
        <w:tc>
          <w:tcPr>
            <w:tcW w:w="1559" w:type="dxa"/>
            <w:tcBorders>
              <w:top w:val="single" w:sz="4" w:space="0" w:color="auto"/>
              <w:left w:val="single" w:sz="4" w:space="0" w:color="auto"/>
              <w:bottom w:val="single" w:sz="4" w:space="0" w:color="auto"/>
              <w:right w:val="single" w:sz="4" w:space="0" w:color="auto"/>
            </w:tcBorders>
            <w:vAlign w:val="center"/>
          </w:tcPr>
          <w:p w14:paraId="233637F1" w14:textId="1CB2FFD2" w:rsidR="0037038C" w:rsidRPr="0037038C" w:rsidRDefault="0037038C" w:rsidP="0037038C">
            <w:pPr>
              <w:jc w:val="center"/>
              <w:rPr>
                <w:sz w:val="22"/>
              </w:rPr>
            </w:pPr>
            <w:r w:rsidRPr="0037038C">
              <w:rPr>
                <w:sz w:val="22"/>
              </w:rPr>
              <w:t>35,744</w:t>
            </w:r>
          </w:p>
        </w:tc>
        <w:tc>
          <w:tcPr>
            <w:tcW w:w="1558" w:type="dxa"/>
            <w:tcBorders>
              <w:top w:val="single" w:sz="4" w:space="0" w:color="auto"/>
              <w:left w:val="single" w:sz="4" w:space="0" w:color="auto"/>
              <w:bottom w:val="single" w:sz="4" w:space="0" w:color="auto"/>
              <w:right w:val="single" w:sz="4" w:space="0" w:color="auto"/>
            </w:tcBorders>
            <w:vAlign w:val="center"/>
          </w:tcPr>
          <w:p w14:paraId="153DB9EF" w14:textId="1A0CECE3" w:rsidR="0037038C" w:rsidRPr="0037038C" w:rsidRDefault="0037038C" w:rsidP="0037038C">
            <w:pPr>
              <w:jc w:val="center"/>
              <w:rPr>
                <w:sz w:val="22"/>
              </w:rPr>
            </w:pPr>
            <w:r w:rsidRPr="0037038C">
              <w:rPr>
                <w:sz w:val="22"/>
              </w:rPr>
              <w:t>24,860</w:t>
            </w:r>
          </w:p>
        </w:tc>
        <w:tc>
          <w:tcPr>
            <w:tcW w:w="1558" w:type="dxa"/>
            <w:tcBorders>
              <w:top w:val="single" w:sz="4" w:space="0" w:color="auto"/>
              <w:left w:val="single" w:sz="4" w:space="0" w:color="auto"/>
              <w:bottom w:val="single" w:sz="4" w:space="0" w:color="auto"/>
              <w:right w:val="single" w:sz="4" w:space="0" w:color="auto"/>
            </w:tcBorders>
            <w:vAlign w:val="center"/>
          </w:tcPr>
          <w:p w14:paraId="7C12C67C" w14:textId="7CE892E2" w:rsidR="0037038C" w:rsidRPr="0037038C" w:rsidRDefault="0037038C" w:rsidP="0037038C">
            <w:pPr>
              <w:jc w:val="center"/>
              <w:rPr>
                <w:sz w:val="22"/>
              </w:rPr>
            </w:pPr>
            <w:r w:rsidRPr="0037038C">
              <w:rPr>
                <w:sz w:val="22"/>
              </w:rPr>
              <w:t>8,620</w:t>
            </w:r>
          </w:p>
        </w:tc>
        <w:tc>
          <w:tcPr>
            <w:tcW w:w="1559" w:type="dxa"/>
            <w:tcBorders>
              <w:top w:val="single" w:sz="4" w:space="0" w:color="auto"/>
              <w:left w:val="single" w:sz="4" w:space="0" w:color="auto"/>
              <w:bottom w:val="single" w:sz="4" w:space="0" w:color="auto"/>
              <w:right w:val="single" w:sz="4" w:space="0" w:color="auto"/>
            </w:tcBorders>
            <w:vAlign w:val="center"/>
          </w:tcPr>
          <w:p w14:paraId="775579E1" w14:textId="0157E0D1" w:rsidR="0037038C" w:rsidRPr="0037038C" w:rsidRDefault="0037038C" w:rsidP="0037038C">
            <w:pPr>
              <w:jc w:val="center"/>
              <w:rPr>
                <w:sz w:val="22"/>
              </w:rPr>
            </w:pPr>
            <w:r w:rsidRPr="0037038C">
              <w:rPr>
                <w:sz w:val="22"/>
              </w:rPr>
              <w:t>7,730</w:t>
            </w:r>
          </w:p>
        </w:tc>
      </w:tr>
      <w:tr w:rsidR="0037038C" w:rsidRPr="0069660B" w14:paraId="3F15227B" w14:textId="77777777" w:rsidTr="0037038C">
        <w:trPr>
          <w:trHeight w:val="288"/>
        </w:trPr>
        <w:tc>
          <w:tcPr>
            <w:tcW w:w="1558" w:type="dxa"/>
            <w:tcBorders>
              <w:top w:val="single" w:sz="4" w:space="0" w:color="auto"/>
              <w:left w:val="single" w:sz="4" w:space="0" w:color="auto"/>
              <w:bottom w:val="single" w:sz="4" w:space="0" w:color="auto"/>
              <w:right w:val="single" w:sz="4" w:space="0" w:color="auto"/>
            </w:tcBorders>
            <w:vAlign w:val="center"/>
          </w:tcPr>
          <w:p w14:paraId="2807552C" w14:textId="1C676FBE" w:rsidR="0037038C" w:rsidRPr="0069660B" w:rsidRDefault="0037038C" w:rsidP="0037038C">
            <w:pPr>
              <w:jc w:val="center"/>
              <w:rPr>
                <w:sz w:val="22"/>
              </w:rPr>
            </w:pPr>
            <w:r>
              <w:rPr>
                <w:sz w:val="22"/>
              </w:rPr>
              <w:t>2018</w:t>
            </w:r>
          </w:p>
        </w:tc>
        <w:tc>
          <w:tcPr>
            <w:tcW w:w="1558" w:type="dxa"/>
            <w:tcBorders>
              <w:top w:val="single" w:sz="4" w:space="0" w:color="auto"/>
              <w:left w:val="single" w:sz="4" w:space="0" w:color="auto"/>
              <w:bottom w:val="single" w:sz="4" w:space="0" w:color="auto"/>
              <w:right w:val="single" w:sz="4" w:space="0" w:color="auto"/>
            </w:tcBorders>
            <w:vAlign w:val="center"/>
          </w:tcPr>
          <w:p w14:paraId="3C5B4483" w14:textId="23585704" w:rsidR="0037038C" w:rsidRPr="0037038C" w:rsidRDefault="0037038C" w:rsidP="0037038C">
            <w:pPr>
              <w:jc w:val="center"/>
              <w:rPr>
                <w:sz w:val="22"/>
              </w:rPr>
            </w:pPr>
            <w:r w:rsidRPr="0037038C">
              <w:rPr>
                <w:sz w:val="22"/>
              </w:rPr>
              <w:t>27,610</w:t>
            </w:r>
          </w:p>
        </w:tc>
        <w:tc>
          <w:tcPr>
            <w:tcW w:w="1559" w:type="dxa"/>
            <w:tcBorders>
              <w:top w:val="single" w:sz="4" w:space="0" w:color="auto"/>
              <w:left w:val="single" w:sz="4" w:space="0" w:color="auto"/>
              <w:bottom w:val="single" w:sz="4" w:space="0" w:color="auto"/>
              <w:right w:val="single" w:sz="4" w:space="0" w:color="auto"/>
            </w:tcBorders>
            <w:vAlign w:val="center"/>
          </w:tcPr>
          <w:p w14:paraId="6FF07ABB" w14:textId="0F0F0AED" w:rsidR="0037038C" w:rsidRPr="0037038C" w:rsidRDefault="0037038C" w:rsidP="0037038C">
            <w:pPr>
              <w:jc w:val="center"/>
              <w:rPr>
                <w:sz w:val="22"/>
              </w:rPr>
            </w:pPr>
            <w:r w:rsidRPr="0037038C">
              <w:rPr>
                <w:sz w:val="22"/>
              </w:rPr>
              <w:t>31,425</w:t>
            </w:r>
          </w:p>
        </w:tc>
        <w:tc>
          <w:tcPr>
            <w:tcW w:w="1558" w:type="dxa"/>
            <w:tcBorders>
              <w:top w:val="single" w:sz="4" w:space="0" w:color="auto"/>
              <w:left w:val="single" w:sz="4" w:space="0" w:color="auto"/>
              <w:bottom w:val="single" w:sz="4" w:space="0" w:color="auto"/>
              <w:right w:val="single" w:sz="4" w:space="0" w:color="auto"/>
            </w:tcBorders>
            <w:vAlign w:val="center"/>
          </w:tcPr>
          <w:p w14:paraId="14603307" w14:textId="4F22D63D" w:rsidR="0037038C" w:rsidRPr="0037038C" w:rsidRDefault="0037038C" w:rsidP="0037038C">
            <w:pPr>
              <w:jc w:val="center"/>
              <w:rPr>
                <w:sz w:val="22"/>
              </w:rPr>
            </w:pPr>
            <w:r w:rsidRPr="0037038C">
              <w:rPr>
                <w:sz w:val="22"/>
              </w:rPr>
              <w:t>23,250</w:t>
            </w:r>
          </w:p>
        </w:tc>
        <w:tc>
          <w:tcPr>
            <w:tcW w:w="1558" w:type="dxa"/>
            <w:tcBorders>
              <w:top w:val="single" w:sz="4" w:space="0" w:color="auto"/>
              <w:left w:val="single" w:sz="4" w:space="0" w:color="auto"/>
              <w:bottom w:val="single" w:sz="4" w:space="0" w:color="auto"/>
              <w:right w:val="single" w:sz="4" w:space="0" w:color="auto"/>
            </w:tcBorders>
            <w:vAlign w:val="center"/>
          </w:tcPr>
          <w:p w14:paraId="49925A6D" w14:textId="0681C3D5" w:rsidR="0037038C" w:rsidRPr="0037038C" w:rsidRDefault="0037038C" w:rsidP="0037038C">
            <w:pPr>
              <w:jc w:val="center"/>
              <w:rPr>
                <w:sz w:val="22"/>
              </w:rPr>
            </w:pPr>
            <w:r w:rsidRPr="0037038C">
              <w:rPr>
                <w:sz w:val="22"/>
              </w:rPr>
              <w:t>11,510</w:t>
            </w:r>
          </w:p>
        </w:tc>
        <w:tc>
          <w:tcPr>
            <w:tcW w:w="1559" w:type="dxa"/>
            <w:tcBorders>
              <w:top w:val="single" w:sz="4" w:space="0" w:color="auto"/>
              <w:left w:val="single" w:sz="4" w:space="0" w:color="auto"/>
              <w:bottom w:val="single" w:sz="4" w:space="0" w:color="auto"/>
              <w:right w:val="single" w:sz="4" w:space="0" w:color="auto"/>
            </w:tcBorders>
            <w:vAlign w:val="center"/>
          </w:tcPr>
          <w:p w14:paraId="0EA3DAFF" w14:textId="3B42801F" w:rsidR="0037038C" w:rsidRPr="0037038C" w:rsidRDefault="0037038C" w:rsidP="0037038C">
            <w:pPr>
              <w:jc w:val="center"/>
              <w:rPr>
                <w:sz w:val="22"/>
              </w:rPr>
            </w:pPr>
            <w:r w:rsidRPr="0037038C">
              <w:rPr>
                <w:sz w:val="22"/>
              </w:rPr>
              <w:t>10,350</w:t>
            </w:r>
          </w:p>
        </w:tc>
      </w:tr>
      <w:tr w:rsidR="0037038C" w:rsidRPr="0069660B" w14:paraId="09CF8AD7" w14:textId="77777777" w:rsidTr="0037038C">
        <w:trPr>
          <w:trHeight w:val="288"/>
        </w:trPr>
        <w:tc>
          <w:tcPr>
            <w:tcW w:w="1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D328DEB" w14:textId="77777777" w:rsidR="0037038C" w:rsidRDefault="0037038C" w:rsidP="0037038C">
            <w:pPr>
              <w:jc w:val="center"/>
              <w:rPr>
                <w:b/>
                <w:sz w:val="22"/>
              </w:rPr>
            </w:pPr>
            <w:r>
              <w:rPr>
                <w:b/>
                <w:sz w:val="22"/>
              </w:rPr>
              <w:t xml:space="preserve">Total, </w:t>
            </w:r>
          </w:p>
          <w:p w14:paraId="27E1F3BF" w14:textId="053F01BE" w:rsidR="0037038C" w:rsidRPr="0069660B" w:rsidRDefault="0037038C" w:rsidP="0037038C">
            <w:pPr>
              <w:jc w:val="center"/>
              <w:rPr>
                <w:b/>
                <w:sz w:val="22"/>
              </w:rPr>
            </w:pPr>
            <w:r>
              <w:rPr>
                <w:b/>
                <w:sz w:val="22"/>
              </w:rPr>
              <w:t>2008-2018</w:t>
            </w:r>
          </w:p>
        </w:tc>
        <w:tc>
          <w:tcPr>
            <w:tcW w:w="1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250AB79" w14:textId="0139F284" w:rsidR="0037038C" w:rsidRPr="0037038C" w:rsidRDefault="0037038C" w:rsidP="0037038C">
            <w:pPr>
              <w:jc w:val="center"/>
              <w:rPr>
                <w:b/>
                <w:sz w:val="22"/>
              </w:rPr>
            </w:pPr>
            <w:r w:rsidRPr="0037038C">
              <w:rPr>
                <w:b/>
                <w:bCs/>
                <w:sz w:val="22"/>
              </w:rPr>
              <w:t>338,110</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06C2EBF" w14:textId="27196FD9" w:rsidR="0037038C" w:rsidRPr="0037038C" w:rsidRDefault="0037038C" w:rsidP="0037038C">
            <w:pPr>
              <w:jc w:val="center"/>
              <w:rPr>
                <w:b/>
                <w:sz w:val="22"/>
              </w:rPr>
            </w:pPr>
            <w:r w:rsidRPr="0037038C">
              <w:rPr>
                <w:b/>
                <w:bCs/>
                <w:sz w:val="22"/>
              </w:rPr>
              <w:t>314,093</w:t>
            </w:r>
          </w:p>
        </w:tc>
        <w:tc>
          <w:tcPr>
            <w:tcW w:w="1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BCF0692" w14:textId="15E48CA9" w:rsidR="0037038C" w:rsidRPr="0037038C" w:rsidRDefault="0037038C" w:rsidP="0037038C">
            <w:pPr>
              <w:jc w:val="center"/>
              <w:rPr>
                <w:b/>
                <w:sz w:val="22"/>
              </w:rPr>
            </w:pPr>
            <w:r w:rsidRPr="0037038C">
              <w:rPr>
                <w:b/>
                <w:bCs/>
                <w:sz w:val="22"/>
              </w:rPr>
              <w:t>212,820</w:t>
            </w:r>
          </w:p>
        </w:tc>
        <w:tc>
          <w:tcPr>
            <w:tcW w:w="1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03BB8B4" w14:textId="7BF4F08B" w:rsidR="0037038C" w:rsidRPr="0037038C" w:rsidRDefault="0037038C" w:rsidP="0037038C">
            <w:pPr>
              <w:jc w:val="center"/>
              <w:rPr>
                <w:b/>
                <w:sz w:val="22"/>
              </w:rPr>
            </w:pPr>
            <w:r w:rsidRPr="0037038C">
              <w:rPr>
                <w:b/>
                <w:bCs/>
                <w:sz w:val="22"/>
              </w:rPr>
              <w:t>91,730</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E298491" w14:textId="7EBCEF14" w:rsidR="0037038C" w:rsidRPr="0037038C" w:rsidRDefault="0037038C" w:rsidP="0037038C">
            <w:pPr>
              <w:jc w:val="center"/>
              <w:rPr>
                <w:b/>
                <w:sz w:val="22"/>
              </w:rPr>
            </w:pPr>
            <w:r w:rsidRPr="0037038C">
              <w:rPr>
                <w:b/>
                <w:bCs/>
                <w:sz w:val="22"/>
              </w:rPr>
              <w:t>81,150</w:t>
            </w:r>
          </w:p>
        </w:tc>
      </w:tr>
      <w:tr w:rsidR="0037038C" w:rsidRPr="0069660B" w14:paraId="05F5A5E5" w14:textId="77777777" w:rsidTr="0037038C">
        <w:trPr>
          <w:trHeight w:val="288"/>
        </w:trPr>
        <w:tc>
          <w:tcPr>
            <w:tcW w:w="1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E42E59B" w14:textId="675FEB92" w:rsidR="0037038C" w:rsidRPr="0069660B" w:rsidRDefault="0037038C" w:rsidP="0037038C">
            <w:pPr>
              <w:jc w:val="center"/>
              <w:rPr>
                <w:b/>
                <w:sz w:val="22"/>
              </w:rPr>
            </w:pPr>
            <w:r w:rsidRPr="0069660B">
              <w:rPr>
                <w:b/>
                <w:sz w:val="22"/>
              </w:rPr>
              <w:t>Average</w:t>
            </w:r>
            <w:r>
              <w:rPr>
                <w:b/>
                <w:sz w:val="22"/>
              </w:rPr>
              <w:t>, 2008-2018</w:t>
            </w:r>
          </w:p>
        </w:tc>
        <w:tc>
          <w:tcPr>
            <w:tcW w:w="1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76F5627" w14:textId="312CCE20" w:rsidR="0037038C" w:rsidRPr="0037038C" w:rsidRDefault="0037038C" w:rsidP="0037038C">
            <w:pPr>
              <w:jc w:val="center"/>
              <w:rPr>
                <w:b/>
                <w:sz w:val="22"/>
              </w:rPr>
            </w:pPr>
            <w:r w:rsidRPr="0037038C">
              <w:rPr>
                <w:b/>
                <w:bCs/>
                <w:sz w:val="22"/>
              </w:rPr>
              <w:t>30,740</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014DA08" w14:textId="1EEC5ED8" w:rsidR="0037038C" w:rsidRPr="0037038C" w:rsidRDefault="0037038C" w:rsidP="0037038C">
            <w:pPr>
              <w:jc w:val="center"/>
              <w:rPr>
                <w:b/>
                <w:sz w:val="22"/>
              </w:rPr>
            </w:pPr>
            <w:r w:rsidRPr="0037038C">
              <w:rPr>
                <w:b/>
                <w:bCs/>
                <w:sz w:val="22"/>
              </w:rPr>
              <w:t>28,550</w:t>
            </w:r>
          </w:p>
        </w:tc>
        <w:tc>
          <w:tcPr>
            <w:tcW w:w="1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5491745" w14:textId="6CFF474D" w:rsidR="0037038C" w:rsidRPr="0037038C" w:rsidRDefault="0037038C" w:rsidP="0037038C">
            <w:pPr>
              <w:jc w:val="center"/>
              <w:rPr>
                <w:b/>
                <w:sz w:val="22"/>
              </w:rPr>
            </w:pPr>
            <w:r w:rsidRPr="0037038C">
              <w:rPr>
                <w:b/>
                <w:bCs/>
                <w:sz w:val="22"/>
              </w:rPr>
              <w:t>19,350</w:t>
            </w:r>
          </w:p>
        </w:tc>
        <w:tc>
          <w:tcPr>
            <w:tcW w:w="1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00E8AA2" w14:textId="185F5614" w:rsidR="0037038C" w:rsidRPr="0037038C" w:rsidRDefault="0037038C" w:rsidP="0037038C">
            <w:pPr>
              <w:jc w:val="center"/>
              <w:rPr>
                <w:b/>
                <w:sz w:val="22"/>
              </w:rPr>
            </w:pPr>
            <w:r w:rsidRPr="0037038C">
              <w:rPr>
                <w:b/>
                <w:bCs/>
                <w:sz w:val="22"/>
              </w:rPr>
              <w:t>8,340</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8E93727" w14:textId="1C75EF8C" w:rsidR="0037038C" w:rsidRPr="0037038C" w:rsidRDefault="0037038C" w:rsidP="0037038C">
            <w:pPr>
              <w:jc w:val="center"/>
              <w:rPr>
                <w:b/>
                <w:sz w:val="22"/>
              </w:rPr>
            </w:pPr>
            <w:r w:rsidRPr="0037038C">
              <w:rPr>
                <w:b/>
                <w:bCs/>
                <w:sz w:val="22"/>
              </w:rPr>
              <w:t>7,380</w:t>
            </w:r>
          </w:p>
        </w:tc>
      </w:tr>
    </w:tbl>
    <w:p w14:paraId="5A776960" w14:textId="415C997A" w:rsidR="00255869" w:rsidRPr="00255869" w:rsidRDefault="0037038C" w:rsidP="00255869">
      <w:pPr>
        <w:rPr>
          <w:sz w:val="20"/>
          <w:szCs w:val="20"/>
        </w:rPr>
      </w:pPr>
      <w:r>
        <w:rPr>
          <w:sz w:val="20"/>
          <w:szCs w:val="20"/>
          <w:vertAlign w:val="superscript"/>
        </w:rPr>
        <w:t>1</w:t>
      </w:r>
      <w:r>
        <w:rPr>
          <w:sz w:val="20"/>
          <w:szCs w:val="20"/>
        </w:rPr>
        <w:t xml:space="preserve"> </w:t>
      </w:r>
      <w:r w:rsidR="00255869" w:rsidRPr="00255869">
        <w:rPr>
          <w:sz w:val="20"/>
          <w:szCs w:val="20"/>
        </w:rPr>
        <w:t xml:space="preserve">The Program began January 2007.  Calculated </w:t>
      </w:r>
      <w:r>
        <w:rPr>
          <w:sz w:val="20"/>
          <w:szCs w:val="20"/>
        </w:rPr>
        <w:t xml:space="preserve">total and </w:t>
      </w:r>
      <w:r w:rsidR="00255869" w:rsidRPr="00255869">
        <w:rPr>
          <w:sz w:val="20"/>
          <w:szCs w:val="20"/>
        </w:rPr>
        <w:t>average values exclude the incomplete Irrigation Year 2007</w:t>
      </w:r>
      <w:r w:rsidR="001D46DC">
        <w:rPr>
          <w:sz w:val="20"/>
          <w:szCs w:val="20"/>
        </w:rPr>
        <w:t>, which began November 20</w:t>
      </w:r>
      <w:r w:rsidR="004C2314">
        <w:rPr>
          <w:sz w:val="20"/>
          <w:szCs w:val="20"/>
        </w:rPr>
        <w:t>0</w:t>
      </w:r>
      <w:r w:rsidR="001D46DC">
        <w:rPr>
          <w:sz w:val="20"/>
          <w:szCs w:val="20"/>
        </w:rPr>
        <w:t>6</w:t>
      </w:r>
      <w:r w:rsidR="00255869" w:rsidRPr="00255869">
        <w:rPr>
          <w:sz w:val="20"/>
          <w:szCs w:val="20"/>
        </w:rPr>
        <w:t>.</w:t>
      </w:r>
      <w:r w:rsidR="00255869" w:rsidRPr="00255869">
        <w:rPr>
          <w:noProof/>
          <w:sz w:val="20"/>
          <w:szCs w:val="20"/>
        </w:rPr>
        <w:t xml:space="preserve"> </w:t>
      </w:r>
    </w:p>
    <w:p w14:paraId="4DCFF259" w14:textId="73EF8C55" w:rsidR="00006DE0" w:rsidRDefault="007E5C02" w:rsidP="00494FEF">
      <w:pPr>
        <w:pStyle w:val="ListParagraph"/>
        <w:spacing w:before="120" w:after="240"/>
        <w:ind w:left="0"/>
        <w:rPr>
          <w:szCs w:val="24"/>
        </w:rPr>
      </w:pPr>
      <w:r>
        <w:rPr>
          <w:szCs w:val="24"/>
        </w:rPr>
        <w:lastRenderedPageBreak/>
        <w:t>Based on Colorado’s analyses, credits for shortage reduction</w:t>
      </w:r>
      <w:r w:rsidR="00F4454D">
        <w:rPr>
          <w:szCs w:val="24"/>
        </w:rPr>
        <w:t xml:space="preserve"> at the Colorado-Nebraska state line </w:t>
      </w:r>
      <w:r>
        <w:rPr>
          <w:szCs w:val="24"/>
        </w:rPr>
        <w:t xml:space="preserve">totaled </w:t>
      </w:r>
      <w:r w:rsidR="009A5F2B">
        <w:rPr>
          <w:szCs w:val="24"/>
        </w:rPr>
        <w:t>11,510</w:t>
      </w:r>
      <w:r>
        <w:rPr>
          <w:szCs w:val="24"/>
        </w:rPr>
        <w:t xml:space="preserve"> AF for the irrigation year</w:t>
      </w:r>
      <w:r>
        <w:rPr>
          <w:rStyle w:val="FootnoteReference"/>
          <w:szCs w:val="24"/>
        </w:rPr>
        <w:footnoteReference w:id="15"/>
      </w:r>
      <w:r>
        <w:rPr>
          <w:szCs w:val="24"/>
        </w:rPr>
        <w:t xml:space="preserve"> ending in October 201</w:t>
      </w:r>
      <w:r w:rsidR="009A5F2B">
        <w:rPr>
          <w:szCs w:val="24"/>
        </w:rPr>
        <w:t>8</w:t>
      </w:r>
      <w:r>
        <w:rPr>
          <w:szCs w:val="24"/>
        </w:rPr>
        <w:t xml:space="preserve"> and averaged 8,</w:t>
      </w:r>
      <w:r w:rsidR="009A5F2B">
        <w:rPr>
          <w:szCs w:val="24"/>
        </w:rPr>
        <w:t>340</w:t>
      </w:r>
      <w:r>
        <w:rPr>
          <w:szCs w:val="24"/>
        </w:rPr>
        <w:t xml:space="preserve"> AF for the complete irrigation years 2008-201</w:t>
      </w:r>
      <w:r w:rsidR="009A5F2B">
        <w:rPr>
          <w:szCs w:val="24"/>
        </w:rPr>
        <w:t>8</w:t>
      </w:r>
      <w:r w:rsidR="00F4454D">
        <w:rPr>
          <w:szCs w:val="24"/>
        </w:rPr>
        <w:t xml:space="preserve">.  This is less than the 10,000 AF score credited to Tamarack I due to less available divertible winter flows during the First Increment since 2007 compared to the 1947-1994 OPSTUDY hydrology used for scoring.  </w:t>
      </w:r>
      <w:r w:rsidR="00006DE0">
        <w:rPr>
          <w:szCs w:val="24"/>
        </w:rPr>
        <w:t xml:space="preserve">Colorado elaborated on this issue in the April 2018 Tamarack </w:t>
      </w:r>
      <w:r w:rsidR="00330C32">
        <w:rPr>
          <w:szCs w:val="24"/>
        </w:rPr>
        <w:t>I</w:t>
      </w:r>
      <w:r w:rsidR="00006DE0">
        <w:rPr>
          <w:szCs w:val="24"/>
        </w:rPr>
        <w:t xml:space="preserve"> Report:</w:t>
      </w:r>
    </w:p>
    <w:p w14:paraId="58416BEC" w14:textId="7AD85011" w:rsidR="00006DE0" w:rsidRDefault="00006DE0" w:rsidP="00C2208E">
      <w:pPr>
        <w:pStyle w:val="ListParagraph"/>
        <w:spacing w:before="120" w:after="240"/>
        <w:rPr>
          <w:szCs w:val="24"/>
        </w:rPr>
      </w:pPr>
      <w:r>
        <w:rPr>
          <w:szCs w:val="24"/>
        </w:rPr>
        <w:t>The 10,000 ac-ft goal has not yet been reached on average because the flow frequency for excess to targets has been less for the start years of PRRIP as compared to the historic period.  December through March are the months of greatest excess and for the historic period of 1947 through 1994, 59% of these months had excess flows above target flows.  However for the first 11 years of the Program for December through March, only 40% of these months had excess flows, thus limiting the amount of water available for Tamarack 1 operations.  An estimate of the Tamarack 1 credit achievable if actual flows similar to historic excesses had occurred for the beginning years of the Program can be estimated as follows:  divide the actual 8,022 ac-ft average…by the water availability ratio of 0.678 (=40/59) which results in 11,833 ac-ft.</w:t>
      </w:r>
    </w:p>
    <w:p w14:paraId="53B3FF81" w14:textId="603A6FEE" w:rsidR="00B955E9" w:rsidRDefault="00B955E9" w:rsidP="00494FEF">
      <w:pPr>
        <w:pStyle w:val="ListParagraph"/>
        <w:spacing w:before="120" w:after="240"/>
        <w:ind w:left="0"/>
        <w:rPr>
          <w:szCs w:val="24"/>
        </w:rPr>
      </w:pPr>
      <w:r>
        <w:rPr>
          <w:szCs w:val="24"/>
        </w:rPr>
        <w:t xml:space="preserve">This is consistent with the findings of the 2016 EDO Excess Analysis White Paper, which showed available excesses from 2007-2015 to be below 1947-1994 averages from January through May.  For the specific months referenced in the context of Tamarack I, December exhibited an </w:t>
      </w:r>
      <w:r w:rsidR="0039109C">
        <w:rPr>
          <w:szCs w:val="24"/>
        </w:rPr>
        <w:t>increase in monthly average excesses of 125 cfs, but that was more than offset lower monthly average excess flows in January (125 cfs less), February (263 cfs less), and March (426 cfs less)</w:t>
      </w:r>
      <w:r w:rsidR="0039109C">
        <w:rPr>
          <w:rStyle w:val="FootnoteReference"/>
          <w:szCs w:val="24"/>
        </w:rPr>
        <w:footnoteReference w:id="16"/>
      </w:r>
      <w:r w:rsidR="0039109C">
        <w:rPr>
          <w:szCs w:val="24"/>
        </w:rPr>
        <w:t>.</w:t>
      </w:r>
    </w:p>
    <w:p w14:paraId="3CE4E5E9" w14:textId="6271AFA4" w:rsidR="009A5F2B" w:rsidRDefault="009A5F2B" w:rsidP="00494FEF">
      <w:pPr>
        <w:pStyle w:val="ListParagraph"/>
        <w:spacing w:before="120" w:after="240"/>
        <w:ind w:left="0"/>
        <w:rPr>
          <w:szCs w:val="24"/>
        </w:rPr>
      </w:pPr>
      <w:r>
        <w:rPr>
          <w:szCs w:val="24"/>
        </w:rPr>
        <w:t>The possibility of actual project yield being lower than the credited score was recognized in the Program Document and is acceptable because the Tamarack I project was constructed and is operated as planned.  The EDO performed additional calculations to route the Tamarack I water from the Colorado-Nebraska state line to Grand Island, where the credits for shortage reduction have averaged 7,380 AF.</w:t>
      </w:r>
    </w:p>
    <w:p w14:paraId="1E607645" w14:textId="30379ACD" w:rsidR="00494FEF" w:rsidRDefault="00494FEF" w:rsidP="00B9798C">
      <w:pPr>
        <w:pStyle w:val="ListParagraph"/>
        <w:numPr>
          <w:ilvl w:val="0"/>
          <w:numId w:val="4"/>
        </w:numPr>
        <w:spacing w:before="240" w:after="240"/>
        <w:rPr>
          <w:b/>
        </w:rPr>
      </w:pPr>
      <w:r>
        <w:rPr>
          <w:b/>
        </w:rPr>
        <w:t>Phelps County Canal Groundwater Recharge Project</w:t>
      </w:r>
      <w:r w:rsidR="00DF4707">
        <w:rPr>
          <w:b/>
        </w:rPr>
        <w:t xml:space="preserve"> and Cook Recapture Well</w:t>
      </w:r>
    </w:p>
    <w:p w14:paraId="276C4010" w14:textId="2A5520A9" w:rsidR="00651D8A" w:rsidRDefault="00651D8A" w:rsidP="00494FEF">
      <w:pPr>
        <w:pStyle w:val="ListParagraph"/>
        <w:spacing w:before="120" w:after="240"/>
        <w:ind w:left="0"/>
        <w:rPr>
          <w:szCs w:val="24"/>
        </w:rPr>
      </w:pPr>
      <w:r>
        <w:rPr>
          <w:szCs w:val="24"/>
        </w:rPr>
        <w:t xml:space="preserve">The Phelps County Canal Groundwater Recharge Project was initiated with pilot-scale operations during the 2011-12 </w:t>
      </w:r>
      <w:r w:rsidR="009332AE">
        <w:rPr>
          <w:szCs w:val="24"/>
        </w:rPr>
        <w:t>non-irrigation</w:t>
      </w:r>
      <w:r>
        <w:rPr>
          <w:szCs w:val="24"/>
        </w:rPr>
        <w:t xml:space="preserve"> season and expanded to full-scale operations </w:t>
      </w:r>
      <w:r w:rsidR="006A1109">
        <w:rPr>
          <w:szCs w:val="24"/>
        </w:rPr>
        <w:t>starting with the</w:t>
      </w:r>
      <w:r>
        <w:rPr>
          <w:szCs w:val="24"/>
        </w:rPr>
        <w:t xml:space="preserve"> 2012-2013</w:t>
      </w:r>
      <w:r w:rsidR="006A1109">
        <w:rPr>
          <w:szCs w:val="24"/>
        </w:rPr>
        <w:t xml:space="preserve"> non-irrigation season</w:t>
      </w:r>
      <w:r>
        <w:rPr>
          <w:szCs w:val="24"/>
        </w:rPr>
        <w:t>.</w:t>
      </w:r>
      <w:r w:rsidR="006A0BE0">
        <w:rPr>
          <w:szCs w:val="24"/>
        </w:rPr>
        <w:t xml:space="preserve">  </w:t>
      </w:r>
      <w:r>
        <w:rPr>
          <w:szCs w:val="24"/>
        </w:rPr>
        <w:t xml:space="preserve">Excess flows are diverted at the CNPPID’s Tri-County Supply Canal headgate near North Platte and carried through that system to the Phelps County Canal </w:t>
      </w:r>
      <w:r w:rsidR="006A0BE0">
        <w:rPr>
          <w:szCs w:val="24"/>
        </w:rPr>
        <w:t xml:space="preserve">headgate.  Diversions into the Phelps County Canal are measured in a flume at Mile Post (MP) 1.6 and the canal is checked at MP 13.3 in order to pool water for recharge operations.  After the canal is filled for recharge, diversions of excess flows are adjusted to achieve an equilibrium between the diversion and seepage (recharge) rates.  Groundwater levels are tracked </w:t>
      </w:r>
      <w:r w:rsidR="000F340D">
        <w:rPr>
          <w:szCs w:val="24"/>
        </w:rPr>
        <w:t xml:space="preserve">by the EDO </w:t>
      </w:r>
      <w:r w:rsidR="006A0BE0">
        <w:rPr>
          <w:szCs w:val="24"/>
        </w:rPr>
        <w:t>through a network of monitoring wells</w:t>
      </w:r>
      <w:r w:rsidR="00270513">
        <w:rPr>
          <w:szCs w:val="24"/>
        </w:rPr>
        <w:t xml:space="preserve"> in the area </w:t>
      </w:r>
      <w:r w:rsidR="00270513">
        <w:rPr>
          <w:szCs w:val="24"/>
        </w:rPr>
        <w:lastRenderedPageBreak/>
        <w:t>between the canal and the Platte River.  Once started during the non-irrigation season, Phelps recharge operations generally continue as long as excess flows are available, threshold groundwater elevations are not exceeded, and the CNPPID infrastructure utilized for the project is not threatened by icy conditions</w:t>
      </w:r>
      <w:r w:rsidR="00DC31CA">
        <w:rPr>
          <w:szCs w:val="24"/>
        </w:rPr>
        <w:t>.</w:t>
      </w:r>
    </w:p>
    <w:p w14:paraId="054198CE" w14:textId="126617EA" w:rsidR="00270513" w:rsidRDefault="00270513" w:rsidP="00494FEF">
      <w:pPr>
        <w:pStyle w:val="ListParagraph"/>
        <w:spacing w:before="120" w:after="240"/>
        <w:ind w:left="0"/>
        <w:rPr>
          <w:szCs w:val="24"/>
        </w:rPr>
      </w:pPr>
      <w:r>
        <w:rPr>
          <w:szCs w:val="24"/>
        </w:rPr>
        <w:t xml:space="preserve">This WAP project is operated under a succession of WSAs between the Program and the CNPPID, which must obtain a temporary permit from the NDNR each year for the diversion of excess flows.  The WSA and </w:t>
      </w:r>
      <w:r w:rsidR="00A461DD">
        <w:rPr>
          <w:szCs w:val="24"/>
        </w:rPr>
        <w:t xml:space="preserve">temporary </w:t>
      </w:r>
      <w:r>
        <w:rPr>
          <w:szCs w:val="24"/>
        </w:rPr>
        <w:t>permit</w:t>
      </w:r>
      <w:r w:rsidR="00A461DD">
        <w:rPr>
          <w:szCs w:val="24"/>
        </w:rPr>
        <w:t>s</w:t>
      </w:r>
      <w:r w:rsidR="00A461DD">
        <w:rPr>
          <w:rStyle w:val="FootnoteReference"/>
          <w:szCs w:val="24"/>
        </w:rPr>
        <w:footnoteReference w:id="17"/>
      </w:r>
      <w:r>
        <w:rPr>
          <w:szCs w:val="24"/>
        </w:rPr>
        <w:t xml:space="preserve"> for the </w:t>
      </w:r>
      <w:r w:rsidR="00A461DD">
        <w:rPr>
          <w:szCs w:val="24"/>
        </w:rPr>
        <w:t>2018 recharge diversions</w:t>
      </w:r>
      <w:r>
        <w:rPr>
          <w:szCs w:val="24"/>
        </w:rPr>
        <w:t xml:space="preserve"> are included in </w:t>
      </w:r>
      <w:r w:rsidRPr="00270513">
        <w:rPr>
          <w:b/>
          <w:szCs w:val="24"/>
        </w:rPr>
        <w:t xml:space="preserve">Appendix </w:t>
      </w:r>
      <w:r w:rsidR="007D19E8">
        <w:rPr>
          <w:b/>
          <w:szCs w:val="24"/>
        </w:rPr>
        <w:t>C</w:t>
      </w:r>
      <w:r>
        <w:rPr>
          <w:szCs w:val="24"/>
        </w:rPr>
        <w:t>.</w:t>
      </w:r>
      <w:r w:rsidR="00C36266">
        <w:rPr>
          <w:szCs w:val="24"/>
        </w:rPr>
        <w:t xml:space="preserve">  Invoices</w:t>
      </w:r>
      <w:r w:rsidR="009332AE">
        <w:rPr>
          <w:szCs w:val="24"/>
        </w:rPr>
        <w:t xml:space="preserve"> from CNPPID</w:t>
      </w:r>
      <w:r w:rsidR="00C36266">
        <w:rPr>
          <w:szCs w:val="24"/>
        </w:rPr>
        <w:t xml:space="preserve"> show diversions into the Phelps County Canal for Program recharge totaling </w:t>
      </w:r>
      <w:r w:rsidR="00A461DD">
        <w:rPr>
          <w:szCs w:val="24"/>
        </w:rPr>
        <w:t>3,</w:t>
      </w:r>
      <w:r w:rsidR="00E74CB8">
        <w:rPr>
          <w:szCs w:val="24"/>
        </w:rPr>
        <w:t>2</w:t>
      </w:r>
      <w:r w:rsidR="00A461DD">
        <w:rPr>
          <w:szCs w:val="24"/>
        </w:rPr>
        <w:t>57.8</w:t>
      </w:r>
      <w:r w:rsidR="00C36266">
        <w:rPr>
          <w:szCs w:val="24"/>
        </w:rPr>
        <w:t xml:space="preserve"> AF </w:t>
      </w:r>
      <w:r w:rsidR="008D1560">
        <w:rPr>
          <w:szCs w:val="24"/>
        </w:rPr>
        <w:t>in calendar year 2018</w:t>
      </w:r>
      <w:r w:rsidR="008D1560">
        <w:rPr>
          <w:rStyle w:val="FootnoteReference"/>
          <w:szCs w:val="24"/>
        </w:rPr>
        <w:footnoteReference w:id="18"/>
      </w:r>
      <w:r w:rsidR="00C36266">
        <w:rPr>
          <w:szCs w:val="24"/>
        </w:rPr>
        <w:t>.</w:t>
      </w:r>
      <w:r w:rsidR="00AE37D6">
        <w:rPr>
          <w:szCs w:val="24"/>
        </w:rPr>
        <w:t xml:space="preserve">  </w:t>
      </w:r>
      <w:r w:rsidR="00374F85">
        <w:rPr>
          <w:szCs w:val="24"/>
        </w:rPr>
        <w:t>R</w:t>
      </w:r>
      <w:r w:rsidR="00AE37D6">
        <w:rPr>
          <w:szCs w:val="24"/>
        </w:rPr>
        <w:t>echarged water is routed from the canal to the Platte River using a groundwater model, then routed downriver to Grand Island by accounting for transit losses.</w:t>
      </w:r>
      <w:r w:rsidR="00500928">
        <w:rPr>
          <w:szCs w:val="24"/>
        </w:rPr>
        <w:t xml:space="preserve">  </w:t>
      </w:r>
      <w:r w:rsidR="009A7BB3">
        <w:rPr>
          <w:szCs w:val="24"/>
        </w:rPr>
        <w:t xml:space="preserve">Volumes of recharged water exceed the invoiced diversions because estimates of additional seepage between the canal headgate and the flume at MP 1.6 are included </w:t>
      </w:r>
      <w:r w:rsidR="00D4122E">
        <w:rPr>
          <w:szCs w:val="24"/>
        </w:rPr>
        <w:t xml:space="preserve">in the accounting analysis </w:t>
      </w:r>
      <w:r w:rsidR="009A7BB3">
        <w:rPr>
          <w:szCs w:val="24"/>
        </w:rPr>
        <w:t xml:space="preserve">based on the average seepage rate from MP 1.6 to MP 13.3.  </w:t>
      </w:r>
      <w:r w:rsidR="00500928">
        <w:rPr>
          <w:szCs w:val="24"/>
        </w:rPr>
        <w:t>The Phelps County Canal is located along the edge of a terrace above the Platte River floodplain, only a mile or two from the river channel for most of the canal exten</w:t>
      </w:r>
      <w:r w:rsidR="001E6FC5">
        <w:rPr>
          <w:szCs w:val="24"/>
        </w:rPr>
        <w:t>t</w:t>
      </w:r>
      <w:r w:rsidR="00500928">
        <w:rPr>
          <w:szCs w:val="24"/>
        </w:rPr>
        <w:t xml:space="preserve"> used for recharge</w:t>
      </w:r>
      <w:r w:rsidR="00644A9D">
        <w:rPr>
          <w:szCs w:val="24"/>
        </w:rPr>
        <w:t>, which allows the seepage returns to reach the river in a relatively short amount of time (generally months rather than years).</w:t>
      </w:r>
      <w:r>
        <w:rPr>
          <w:szCs w:val="24"/>
        </w:rPr>
        <w:t xml:space="preserve">    </w:t>
      </w:r>
    </w:p>
    <w:p w14:paraId="3BB7BA75" w14:textId="5B775F05" w:rsidR="00C36266" w:rsidRDefault="00DC31CA" w:rsidP="00494FEF">
      <w:pPr>
        <w:pStyle w:val="ListParagraph"/>
        <w:spacing w:before="120" w:after="240"/>
        <w:ind w:left="0"/>
        <w:rPr>
          <w:szCs w:val="24"/>
        </w:rPr>
      </w:pPr>
      <w:r>
        <w:rPr>
          <w:szCs w:val="24"/>
        </w:rPr>
        <w:t>The Cook Well can be operated by the EDO, generally between March and November, to recapture water recharged through the Phelps County Canal and deliver that water into the Platte River during times of target flow shortages.</w:t>
      </w:r>
      <w:r w:rsidR="00742DF4">
        <w:rPr>
          <w:szCs w:val="24"/>
        </w:rPr>
        <w:t xml:space="preserve">  </w:t>
      </w:r>
      <w:r w:rsidR="00241EF2">
        <w:rPr>
          <w:szCs w:val="24"/>
        </w:rPr>
        <w:t xml:space="preserve">Cook Well pumping is reported annually to the Tri-Basin NRD; </w:t>
      </w:r>
      <w:r w:rsidR="00204287">
        <w:rPr>
          <w:szCs w:val="24"/>
        </w:rPr>
        <w:t>according to the most recent report,</w:t>
      </w:r>
      <w:r w:rsidR="00742DF4">
        <w:rPr>
          <w:szCs w:val="24"/>
        </w:rPr>
        <w:t xml:space="preserve"> 19,220,100 gallons (59 AF) of Phelps recharge water was pumped between late-August and November 2018</w:t>
      </w:r>
      <w:r w:rsidR="00091E37">
        <w:rPr>
          <w:rStyle w:val="FootnoteReference"/>
          <w:szCs w:val="24"/>
        </w:rPr>
        <w:footnoteReference w:id="19"/>
      </w:r>
      <w:r w:rsidR="00742DF4">
        <w:rPr>
          <w:szCs w:val="24"/>
        </w:rPr>
        <w:t xml:space="preserve">.  </w:t>
      </w:r>
      <w:r w:rsidR="00731B2B">
        <w:rPr>
          <w:szCs w:val="24"/>
        </w:rPr>
        <w:t xml:space="preserve">The 2015 permit for the Cook Well and </w:t>
      </w:r>
      <w:r w:rsidR="00742DF4">
        <w:rPr>
          <w:szCs w:val="24"/>
        </w:rPr>
        <w:t>the</w:t>
      </w:r>
      <w:r w:rsidR="00731B2B">
        <w:rPr>
          <w:szCs w:val="24"/>
        </w:rPr>
        <w:t xml:space="preserve"> pumping</w:t>
      </w:r>
      <w:r w:rsidR="00742DF4">
        <w:rPr>
          <w:szCs w:val="24"/>
        </w:rPr>
        <w:t xml:space="preserve"> report for 2018 </w:t>
      </w:r>
      <w:r w:rsidR="00731B2B">
        <w:rPr>
          <w:szCs w:val="24"/>
        </w:rPr>
        <w:t>are</w:t>
      </w:r>
      <w:r w:rsidR="00742DF4">
        <w:rPr>
          <w:szCs w:val="24"/>
        </w:rPr>
        <w:t xml:space="preserve"> included in </w:t>
      </w:r>
      <w:r w:rsidR="00742DF4" w:rsidRPr="00742DF4">
        <w:rPr>
          <w:b/>
          <w:szCs w:val="24"/>
        </w:rPr>
        <w:t xml:space="preserve">Appendix </w:t>
      </w:r>
      <w:r w:rsidR="00E27C8F">
        <w:rPr>
          <w:b/>
          <w:szCs w:val="24"/>
        </w:rPr>
        <w:t>C</w:t>
      </w:r>
      <w:r w:rsidR="00742DF4">
        <w:rPr>
          <w:szCs w:val="24"/>
        </w:rPr>
        <w:t>.</w:t>
      </w:r>
    </w:p>
    <w:p w14:paraId="0B63C6FE" w14:textId="639276B2" w:rsidR="000D5A26" w:rsidRDefault="00742DF4" w:rsidP="00A41D2E">
      <w:pPr>
        <w:pStyle w:val="ListParagraph"/>
        <w:spacing w:before="120" w:after="240"/>
        <w:ind w:left="0"/>
        <w:rPr>
          <w:szCs w:val="24"/>
        </w:rPr>
      </w:pPr>
      <w:r w:rsidRPr="00742DF4">
        <w:rPr>
          <w:b/>
          <w:szCs w:val="24"/>
        </w:rPr>
        <w:t xml:space="preserve">Table </w:t>
      </w:r>
      <w:r w:rsidR="00E27C8F">
        <w:rPr>
          <w:b/>
          <w:szCs w:val="24"/>
        </w:rPr>
        <w:t>4</w:t>
      </w:r>
      <w:r w:rsidR="00E27C8F">
        <w:rPr>
          <w:szCs w:val="24"/>
        </w:rPr>
        <w:t xml:space="preserve"> </w:t>
      </w:r>
      <w:r>
        <w:rPr>
          <w:szCs w:val="24"/>
        </w:rPr>
        <w:t>presents the results of accounting analyses for the Phelps County Canal Groundwater Recharge Project and Cook Recapture Well since operations</w:t>
      </w:r>
      <w:r w:rsidR="001C48BC">
        <w:rPr>
          <w:szCs w:val="24"/>
        </w:rPr>
        <w:t xml:space="preserve"> began</w:t>
      </w:r>
      <w:r>
        <w:rPr>
          <w:szCs w:val="24"/>
        </w:rPr>
        <w:t xml:space="preserve"> in 201</w:t>
      </w:r>
      <w:r w:rsidR="001C48BC">
        <w:rPr>
          <w:szCs w:val="24"/>
        </w:rPr>
        <w:t>1</w:t>
      </w:r>
      <w:r>
        <w:rPr>
          <w:szCs w:val="24"/>
        </w:rPr>
        <w:t>.</w:t>
      </w:r>
      <w:r w:rsidR="000166ED">
        <w:rPr>
          <w:szCs w:val="24"/>
        </w:rPr>
        <w:t xml:space="preserve">  </w:t>
      </w:r>
      <w:r w:rsidR="0062400A">
        <w:rPr>
          <w:szCs w:val="24"/>
        </w:rPr>
        <w:t>Originally</w:t>
      </w:r>
      <w:r w:rsidR="00BE4C0F">
        <w:rPr>
          <w:szCs w:val="24"/>
        </w:rPr>
        <w:t>, 50</w:t>
      </w:r>
      <w:r w:rsidR="00843234">
        <w:rPr>
          <w:szCs w:val="24"/>
        </w:rPr>
        <w:t xml:space="preserve"> percent</w:t>
      </w:r>
      <w:r w:rsidR="00BE4C0F">
        <w:rPr>
          <w:szCs w:val="24"/>
        </w:rPr>
        <w:t xml:space="preserve"> of total Phelps recharge diversions were allocated to the Program; </w:t>
      </w:r>
      <w:r w:rsidR="0062400A">
        <w:rPr>
          <w:szCs w:val="24"/>
        </w:rPr>
        <w:t>since late 2015</w:t>
      </w:r>
      <w:r w:rsidR="00BE4C0F">
        <w:rPr>
          <w:szCs w:val="24"/>
        </w:rPr>
        <w:t xml:space="preserve">, the Program allocation has </w:t>
      </w:r>
      <w:r w:rsidR="0062400A">
        <w:rPr>
          <w:szCs w:val="24"/>
        </w:rPr>
        <w:t>generally</w:t>
      </w:r>
      <w:r w:rsidR="001A3701">
        <w:rPr>
          <w:szCs w:val="24"/>
        </w:rPr>
        <w:t xml:space="preserve"> (but not consistently)</w:t>
      </w:r>
      <w:r w:rsidR="0062400A">
        <w:rPr>
          <w:szCs w:val="24"/>
        </w:rPr>
        <w:t xml:space="preserve"> </w:t>
      </w:r>
      <w:r w:rsidR="00BE4C0F">
        <w:rPr>
          <w:szCs w:val="24"/>
        </w:rPr>
        <w:t>been 75</w:t>
      </w:r>
      <w:r w:rsidR="00843234">
        <w:rPr>
          <w:szCs w:val="24"/>
        </w:rPr>
        <w:t xml:space="preserve"> percent</w:t>
      </w:r>
      <w:r w:rsidR="00BE4C0F">
        <w:rPr>
          <w:szCs w:val="24"/>
        </w:rPr>
        <w:t xml:space="preserve">.  </w:t>
      </w:r>
      <w:r w:rsidR="000166ED">
        <w:rPr>
          <w:szCs w:val="24"/>
        </w:rPr>
        <w:t xml:space="preserve">Reported values for calendar year 2018 reflect </w:t>
      </w:r>
      <w:r w:rsidR="00B14E58">
        <w:rPr>
          <w:szCs w:val="24"/>
        </w:rPr>
        <w:t xml:space="preserve">Phelps recharge </w:t>
      </w:r>
      <w:r w:rsidR="00EB496D">
        <w:rPr>
          <w:szCs w:val="24"/>
        </w:rPr>
        <w:t>diversions</w:t>
      </w:r>
      <w:r w:rsidR="001C48BC">
        <w:rPr>
          <w:szCs w:val="24"/>
        </w:rPr>
        <w:t xml:space="preserve"> for the Program</w:t>
      </w:r>
      <w:r w:rsidR="00B14E58">
        <w:rPr>
          <w:szCs w:val="24"/>
        </w:rPr>
        <w:t xml:space="preserve"> </w:t>
      </w:r>
      <w:r w:rsidR="00A41D2E">
        <w:rPr>
          <w:szCs w:val="24"/>
        </w:rPr>
        <w:t>in January-February 2018 and again in November-December 2018.</w:t>
      </w:r>
      <w:r w:rsidR="00B14E58">
        <w:rPr>
          <w:szCs w:val="24"/>
        </w:rPr>
        <w:t xml:space="preserve">  </w:t>
      </w:r>
    </w:p>
    <w:p w14:paraId="4D5DFD88" w14:textId="77777777" w:rsidR="005E703D" w:rsidRDefault="005E703D">
      <w:pPr>
        <w:rPr>
          <w:b/>
          <w:sz w:val="22"/>
        </w:rPr>
      </w:pPr>
      <w:r>
        <w:rPr>
          <w:b/>
          <w:sz w:val="22"/>
        </w:rPr>
        <w:br w:type="page"/>
      </w:r>
    </w:p>
    <w:p w14:paraId="15107236" w14:textId="769192D6" w:rsidR="00742DF4" w:rsidRPr="0039677D" w:rsidRDefault="00742DF4" w:rsidP="00742DF4">
      <w:pPr>
        <w:rPr>
          <w:b/>
          <w:sz w:val="22"/>
        </w:rPr>
      </w:pPr>
      <w:r w:rsidRPr="0039677D">
        <w:rPr>
          <w:b/>
          <w:sz w:val="22"/>
        </w:rPr>
        <w:lastRenderedPageBreak/>
        <w:t xml:space="preserve">Table </w:t>
      </w:r>
      <w:r w:rsidR="00E27C8F">
        <w:rPr>
          <w:b/>
          <w:sz w:val="22"/>
        </w:rPr>
        <w:t>4</w:t>
      </w:r>
      <w:r w:rsidR="00750909">
        <w:rPr>
          <w:b/>
          <w:sz w:val="22"/>
        </w:rPr>
        <w:t>.</w:t>
      </w:r>
      <w:r w:rsidRPr="0039677D">
        <w:rPr>
          <w:b/>
          <w:sz w:val="22"/>
        </w:rPr>
        <w:t xml:space="preserve"> Phelps County Recharge and Cook Well Projects Yields</w:t>
      </w:r>
      <w:r>
        <w:rPr>
          <w:b/>
          <w:sz w:val="22"/>
        </w:rPr>
        <w:t xml:space="preserve"> </w:t>
      </w:r>
    </w:p>
    <w:tbl>
      <w:tblPr>
        <w:tblW w:w="9468" w:type="dxa"/>
        <w:tblLayout w:type="fixed"/>
        <w:tblLook w:val="04A0" w:firstRow="1" w:lastRow="0" w:firstColumn="1" w:lastColumn="0" w:noHBand="0" w:noVBand="1"/>
      </w:tblPr>
      <w:tblGrid>
        <w:gridCol w:w="1352"/>
        <w:gridCol w:w="1353"/>
        <w:gridCol w:w="1352"/>
        <w:gridCol w:w="1353"/>
        <w:gridCol w:w="1352"/>
        <w:gridCol w:w="1353"/>
        <w:gridCol w:w="1353"/>
      </w:tblGrid>
      <w:tr w:rsidR="000D5A26" w:rsidRPr="0039677D" w14:paraId="7062947B" w14:textId="77777777" w:rsidTr="003D3831">
        <w:trPr>
          <w:trHeight w:val="593"/>
        </w:trPr>
        <w:tc>
          <w:tcPr>
            <w:tcW w:w="1352"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hideMark/>
          </w:tcPr>
          <w:p w14:paraId="32FA4EB8" w14:textId="19C31785" w:rsidR="000D5A26" w:rsidRPr="00CD354B" w:rsidRDefault="00DB0F13" w:rsidP="000D5A26">
            <w:pPr>
              <w:jc w:val="center"/>
              <w:rPr>
                <w:b/>
                <w:bCs/>
                <w:color w:val="000000"/>
                <w:sz w:val="22"/>
              </w:rPr>
            </w:pPr>
            <w:r>
              <w:rPr>
                <w:b/>
                <w:bCs/>
                <w:color w:val="000000"/>
                <w:sz w:val="22"/>
              </w:rPr>
              <w:t>Year</w:t>
            </w:r>
          </w:p>
        </w:tc>
        <w:tc>
          <w:tcPr>
            <w:tcW w:w="1353" w:type="dxa"/>
            <w:tcBorders>
              <w:top w:val="single" w:sz="4" w:space="0" w:color="auto"/>
              <w:left w:val="nil"/>
              <w:bottom w:val="single" w:sz="4" w:space="0" w:color="auto"/>
              <w:right w:val="single" w:sz="4" w:space="0" w:color="auto"/>
            </w:tcBorders>
            <w:shd w:val="clear" w:color="auto" w:fill="C2D69B" w:themeFill="accent3" w:themeFillTint="99"/>
            <w:vAlign w:val="bottom"/>
          </w:tcPr>
          <w:p w14:paraId="1E8DBF5F" w14:textId="64B5EC8E" w:rsidR="000D5A26" w:rsidRPr="00CD354B" w:rsidRDefault="000D5A26" w:rsidP="000D5A26">
            <w:pPr>
              <w:jc w:val="center"/>
              <w:rPr>
                <w:b/>
                <w:bCs/>
                <w:color w:val="000000"/>
                <w:sz w:val="22"/>
              </w:rPr>
            </w:pPr>
            <w:r w:rsidRPr="00CD354B">
              <w:rPr>
                <w:b/>
                <w:bCs/>
                <w:color w:val="000000"/>
                <w:sz w:val="22"/>
              </w:rPr>
              <w:t>Invoiced Diversions</w:t>
            </w:r>
            <w:r w:rsidR="00821F3B" w:rsidRPr="00CD354B">
              <w:rPr>
                <w:b/>
                <w:bCs/>
                <w:color w:val="000000"/>
                <w:sz w:val="22"/>
                <w:vertAlign w:val="superscript"/>
              </w:rPr>
              <w:t>1</w:t>
            </w:r>
          </w:p>
          <w:p w14:paraId="05BD7114" w14:textId="3EA0168C" w:rsidR="000D5A26" w:rsidRPr="00CD354B" w:rsidRDefault="000D5A26" w:rsidP="000D5A26">
            <w:pPr>
              <w:jc w:val="center"/>
              <w:rPr>
                <w:b/>
                <w:bCs/>
                <w:color w:val="000000"/>
                <w:sz w:val="22"/>
              </w:rPr>
            </w:pPr>
            <w:r w:rsidRPr="00CD354B">
              <w:rPr>
                <w:b/>
                <w:bCs/>
                <w:color w:val="000000"/>
                <w:sz w:val="22"/>
              </w:rPr>
              <w:t>(AF)</w:t>
            </w:r>
          </w:p>
        </w:tc>
        <w:tc>
          <w:tcPr>
            <w:tcW w:w="1352"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hideMark/>
          </w:tcPr>
          <w:p w14:paraId="47AABF29" w14:textId="3183DACF" w:rsidR="000D5A26" w:rsidRPr="00CD354B" w:rsidRDefault="000D5A26" w:rsidP="000D5A26">
            <w:pPr>
              <w:jc w:val="center"/>
              <w:rPr>
                <w:b/>
                <w:bCs/>
                <w:color w:val="000000"/>
                <w:sz w:val="22"/>
              </w:rPr>
            </w:pPr>
            <w:r w:rsidRPr="00CD354B">
              <w:rPr>
                <w:b/>
                <w:bCs/>
                <w:color w:val="000000"/>
                <w:sz w:val="22"/>
              </w:rPr>
              <w:t>Amount Recharged</w:t>
            </w:r>
            <w:r w:rsidR="00821F3B" w:rsidRPr="00CD354B">
              <w:rPr>
                <w:b/>
                <w:bCs/>
                <w:color w:val="000000"/>
                <w:sz w:val="22"/>
                <w:vertAlign w:val="superscript"/>
              </w:rPr>
              <w:t>2</w:t>
            </w:r>
          </w:p>
          <w:p w14:paraId="7C746B52" w14:textId="44A1C805" w:rsidR="000D5A26" w:rsidRPr="00CD354B" w:rsidRDefault="000D5A26" w:rsidP="000D5A26">
            <w:pPr>
              <w:jc w:val="center"/>
              <w:rPr>
                <w:b/>
                <w:bCs/>
                <w:color w:val="000000"/>
                <w:sz w:val="22"/>
              </w:rPr>
            </w:pPr>
            <w:r w:rsidRPr="00CD354B">
              <w:rPr>
                <w:b/>
                <w:bCs/>
                <w:color w:val="000000"/>
                <w:sz w:val="22"/>
              </w:rPr>
              <w:t>(AF)</w:t>
            </w:r>
          </w:p>
        </w:tc>
        <w:tc>
          <w:tcPr>
            <w:tcW w:w="1353" w:type="dxa"/>
            <w:tcBorders>
              <w:top w:val="single" w:sz="4" w:space="0" w:color="auto"/>
              <w:left w:val="nil"/>
              <w:bottom w:val="single" w:sz="4" w:space="0" w:color="auto"/>
              <w:right w:val="single" w:sz="4" w:space="0" w:color="auto"/>
            </w:tcBorders>
            <w:shd w:val="clear" w:color="auto" w:fill="C2D69B" w:themeFill="accent3" w:themeFillTint="99"/>
            <w:vAlign w:val="bottom"/>
            <w:hideMark/>
          </w:tcPr>
          <w:p w14:paraId="19462A6B" w14:textId="5BB2FCC0" w:rsidR="000D5A26" w:rsidRPr="00CD354B" w:rsidRDefault="000D5A26" w:rsidP="000D5A26">
            <w:pPr>
              <w:jc w:val="center"/>
              <w:rPr>
                <w:b/>
                <w:bCs/>
                <w:color w:val="000000"/>
                <w:sz w:val="22"/>
              </w:rPr>
            </w:pPr>
            <w:r w:rsidRPr="00CD354B">
              <w:rPr>
                <w:b/>
                <w:bCs/>
                <w:color w:val="000000"/>
                <w:sz w:val="22"/>
              </w:rPr>
              <w:t>Cook Well Pumping</w:t>
            </w:r>
            <w:r w:rsidR="00821F3B" w:rsidRPr="00CD354B">
              <w:rPr>
                <w:b/>
                <w:bCs/>
                <w:color w:val="000000"/>
                <w:sz w:val="22"/>
                <w:vertAlign w:val="superscript"/>
              </w:rPr>
              <w:t>3</w:t>
            </w:r>
            <w:r w:rsidRPr="00CD354B">
              <w:rPr>
                <w:b/>
                <w:bCs/>
                <w:color w:val="000000"/>
                <w:sz w:val="22"/>
              </w:rPr>
              <w:br/>
              <w:t>(AF)</w:t>
            </w:r>
          </w:p>
        </w:tc>
        <w:tc>
          <w:tcPr>
            <w:tcW w:w="1352" w:type="dxa"/>
            <w:tcBorders>
              <w:top w:val="single" w:sz="4" w:space="0" w:color="auto"/>
              <w:left w:val="nil"/>
              <w:bottom w:val="single" w:sz="4" w:space="0" w:color="auto"/>
              <w:right w:val="single" w:sz="4" w:space="0" w:color="auto"/>
            </w:tcBorders>
            <w:shd w:val="clear" w:color="auto" w:fill="C2D69B" w:themeFill="accent3" w:themeFillTint="99"/>
            <w:vAlign w:val="bottom"/>
            <w:hideMark/>
          </w:tcPr>
          <w:p w14:paraId="33D607A4" w14:textId="5275233A" w:rsidR="000D5A26" w:rsidRPr="00CD354B" w:rsidRDefault="000D5A26" w:rsidP="000D5A26">
            <w:pPr>
              <w:jc w:val="center"/>
              <w:rPr>
                <w:b/>
                <w:bCs/>
                <w:color w:val="000000"/>
                <w:sz w:val="22"/>
              </w:rPr>
            </w:pPr>
            <w:r w:rsidRPr="00CD354B">
              <w:rPr>
                <w:b/>
                <w:bCs/>
                <w:color w:val="000000"/>
                <w:sz w:val="22"/>
              </w:rPr>
              <w:t>Lagged Accretions</w:t>
            </w:r>
            <w:r w:rsidR="00821F3B" w:rsidRPr="00CD354B">
              <w:rPr>
                <w:b/>
                <w:bCs/>
                <w:color w:val="000000"/>
                <w:sz w:val="22"/>
                <w:vertAlign w:val="superscript"/>
              </w:rPr>
              <w:t>4</w:t>
            </w:r>
            <w:r w:rsidRPr="00CD354B">
              <w:rPr>
                <w:b/>
                <w:bCs/>
                <w:color w:val="000000"/>
                <w:sz w:val="22"/>
              </w:rPr>
              <w:t xml:space="preserve"> </w:t>
            </w:r>
            <w:r w:rsidRPr="00CD354B">
              <w:rPr>
                <w:b/>
                <w:bCs/>
                <w:color w:val="000000"/>
                <w:sz w:val="22"/>
              </w:rPr>
              <w:br/>
              <w:t>(AF)</w:t>
            </w:r>
          </w:p>
        </w:tc>
        <w:tc>
          <w:tcPr>
            <w:tcW w:w="1353" w:type="dxa"/>
            <w:tcBorders>
              <w:top w:val="single" w:sz="4" w:space="0" w:color="auto"/>
              <w:left w:val="nil"/>
              <w:bottom w:val="single" w:sz="4" w:space="0" w:color="auto"/>
              <w:right w:val="single" w:sz="4" w:space="0" w:color="auto"/>
            </w:tcBorders>
            <w:shd w:val="clear" w:color="auto" w:fill="C2D69B" w:themeFill="accent3" w:themeFillTint="99"/>
            <w:vAlign w:val="bottom"/>
            <w:hideMark/>
          </w:tcPr>
          <w:p w14:paraId="34EFDDF8" w14:textId="7D5C3623" w:rsidR="000D5A26" w:rsidRPr="00CD354B" w:rsidRDefault="000D5A26" w:rsidP="000D5A26">
            <w:pPr>
              <w:jc w:val="center"/>
              <w:rPr>
                <w:b/>
                <w:bCs/>
                <w:color w:val="000000"/>
                <w:sz w:val="22"/>
              </w:rPr>
            </w:pPr>
            <w:r w:rsidRPr="00CD354B">
              <w:rPr>
                <w:b/>
                <w:bCs/>
                <w:color w:val="000000"/>
                <w:sz w:val="22"/>
              </w:rPr>
              <w:t>Yield at Grand Island</w:t>
            </w:r>
            <w:r w:rsidR="00821F3B" w:rsidRPr="00CD354B">
              <w:rPr>
                <w:b/>
                <w:bCs/>
                <w:color w:val="000000"/>
                <w:sz w:val="22"/>
                <w:vertAlign w:val="superscript"/>
              </w:rPr>
              <w:t>5</w:t>
            </w:r>
            <w:r w:rsidRPr="00CD354B">
              <w:rPr>
                <w:b/>
                <w:bCs/>
                <w:color w:val="000000"/>
                <w:sz w:val="22"/>
              </w:rPr>
              <w:br/>
              <w:t>(AF)</w:t>
            </w:r>
          </w:p>
        </w:tc>
        <w:tc>
          <w:tcPr>
            <w:tcW w:w="1353" w:type="dxa"/>
            <w:tcBorders>
              <w:top w:val="single" w:sz="4" w:space="0" w:color="auto"/>
              <w:left w:val="nil"/>
              <w:bottom w:val="single" w:sz="4" w:space="0" w:color="auto"/>
              <w:right w:val="single" w:sz="4" w:space="0" w:color="auto"/>
            </w:tcBorders>
            <w:shd w:val="clear" w:color="auto" w:fill="C2D69B" w:themeFill="accent3" w:themeFillTint="99"/>
            <w:vAlign w:val="bottom"/>
            <w:hideMark/>
          </w:tcPr>
          <w:p w14:paraId="71234031" w14:textId="6FFB841E" w:rsidR="000D5A26" w:rsidRPr="00CD354B" w:rsidRDefault="000D5A26" w:rsidP="000D5A26">
            <w:pPr>
              <w:jc w:val="center"/>
              <w:rPr>
                <w:b/>
                <w:bCs/>
                <w:color w:val="000000"/>
                <w:sz w:val="22"/>
              </w:rPr>
            </w:pPr>
            <w:r w:rsidRPr="00CD354B">
              <w:rPr>
                <w:b/>
                <w:bCs/>
                <w:color w:val="000000"/>
                <w:sz w:val="22"/>
              </w:rPr>
              <w:t>Deficit Reductions to Target Flows</w:t>
            </w:r>
            <w:r w:rsidR="00821F3B" w:rsidRPr="00CD354B">
              <w:rPr>
                <w:b/>
                <w:sz w:val="22"/>
                <w:vertAlign w:val="superscript"/>
              </w:rPr>
              <w:t>6</w:t>
            </w:r>
            <w:r w:rsidRPr="00CD354B">
              <w:rPr>
                <w:b/>
                <w:bCs/>
                <w:color w:val="000000"/>
                <w:sz w:val="22"/>
              </w:rPr>
              <w:br/>
              <w:t>(AF)</w:t>
            </w:r>
          </w:p>
        </w:tc>
      </w:tr>
      <w:tr w:rsidR="002E33E7" w:rsidRPr="0039677D" w14:paraId="63392A70" w14:textId="77777777" w:rsidTr="0068373D">
        <w:trPr>
          <w:trHeight w:val="288"/>
        </w:trPr>
        <w:tc>
          <w:tcPr>
            <w:tcW w:w="1352" w:type="dxa"/>
            <w:tcBorders>
              <w:top w:val="nil"/>
              <w:left w:val="single" w:sz="4" w:space="0" w:color="auto"/>
              <w:bottom w:val="single" w:sz="4" w:space="0" w:color="auto"/>
              <w:right w:val="single" w:sz="4" w:space="0" w:color="auto"/>
            </w:tcBorders>
            <w:shd w:val="clear" w:color="auto" w:fill="auto"/>
            <w:noWrap/>
            <w:vAlign w:val="center"/>
          </w:tcPr>
          <w:p w14:paraId="2D171F55" w14:textId="0D8549DA" w:rsidR="002E33E7" w:rsidRPr="00BE1863" w:rsidRDefault="002E33E7" w:rsidP="00821F3B">
            <w:pPr>
              <w:jc w:val="center"/>
              <w:rPr>
                <w:color w:val="000000"/>
                <w:sz w:val="22"/>
              </w:rPr>
            </w:pPr>
            <w:r w:rsidRPr="00BE1863">
              <w:rPr>
                <w:color w:val="000000"/>
                <w:sz w:val="22"/>
              </w:rPr>
              <w:t>2011</w:t>
            </w:r>
          </w:p>
        </w:tc>
        <w:tc>
          <w:tcPr>
            <w:tcW w:w="1353" w:type="dxa"/>
            <w:tcBorders>
              <w:top w:val="single" w:sz="4" w:space="0" w:color="auto"/>
              <w:left w:val="nil"/>
              <w:bottom w:val="single" w:sz="4" w:space="0" w:color="auto"/>
              <w:right w:val="single" w:sz="4" w:space="0" w:color="auto"/>
            </w:tcBorders>
            <w:vAlign w:val="center"/>
          </w:tcPr>
          <w:p w14:paraId="6B19CC3B" w14:textId="05E2D5A6" w:rsidR="002E33E7" w:rsidRPr="00BE1863" w:rsidRDefault="002E33E7" w:rsidP="00821F3B">
            <w:pPr>
              <w:jc w:val="center"/>
              <w:rPr>
                <w:color w:val="000000"/>
                <w:sz w:val="22"/>
              </w:rPr>
            </w:pPr>
            <w:r w:rsidRPr="00BE1863">
              <w:rPr>
                <w:sz w:val="22"/>
              </w:rPr>
              <w:t>2,710</w:t>
            </w:r>
          </w:p>
        </w:tc>
        <w:tc>
          <w:tcPr>
            <w:tcW w:w="1352" w:type="dxa"/>
            <w:tcBorders>
              <w:top w:val="nil"/>
              <w:left w:val="single" w:sz="4" w:space="0" w:color="auto"/>
              <w:bottom w:val="single" w:sz="4" w:space="0" w:color="auto"/>
              <w:right w:val="single" w:sz="4" w:space="0" w:color="auto"/>
            </w:tcBorders>
            <w:shd w:val="clear" w:color="auto" w:fill="auto"/>
            <w:noWrap/>
            <w:vAlign w:val="center"/>
          </w:tcPr>
          <w:p w14:paraId="57BCD0CB" w14:textId="6A2AEBDD" w:rsidR="002E33E7" w:rsidRPr="00BE1863" w:rsidRDefault="002E33E7" w:rsidP="00821F3B">
            <w:pPr>
              <w:jc w:val="center"/>
              <w:rPr>
                <w:color w:val="000000"/>
                <w:sz w:val="22"/>
              </w:rPr>
            </w:pPr>
            <w:r w:rsidRPr="00BE1863">
              <w:rPr>
                <w:sz w:val="22"/>
              </w:rPr>
              <w:t>4,000</w:t>
            </w:r>
          </w:p>
        </w:tc>
        <w:tc>
          <w:tcPr>
            <w:tcW w:w="1353" w:type="dxa"/>
            <w:tcBorders>
              <w:top w:val="nil"/>
              <w:left w:val="nil"/>
              <w:bottom w:val="single" w:sz="4" w:space="0" w:color="auto"/>
              <w:right w:val="single" w:sz="4" w:space="0" w:color="auto"/>
            </w:tcBorders>
            <w:shd w:val="clear" w:color="auto" w:fill="auto"/>
            <w:noWrap/>
            <w:vAlign w:val="center"/>
          </w:tcPr>
          <w:p w14:paraId="01A2E22D" w14:textId="0BA75DB9" w:rsidR="002E33E7" w:rsidRPr="00BE1863" w:rsidRDefault="002E33E7" w:rsidP="00821F3B">
            <w:pPr>
              <w:jc w:val="center"/>
              <w:rPr>
                <w:color w:val="000000"/>
                <w:sz w:val="22"/>
              </w:rPr>
            </w:pPr>
            <w:r w:rsidRPr="00BE1863">
              <w:rPr>
                <w:sz w:val="22"/>
              </w:rPr>
              <w:t>0</w:t>
            </w:r>
          </w:p>
        </w:tc>
        <w:tc>
          <w:tcPr>
            <w:tcW w:w="1352" w:type="dxa"/>
            <w:tcBorders>
              <w:top w:val="nil"/>
              <w:left w:val="nil"/>
              <w:bottom w:val="single" w:sz="4" w:space="0" w:color="auto"/>
              <w:right w:val="single" w:sz="4" w:space="0" w:color="auto"/>
            </w:tcBorders>
            <w:shd w:val="clear" w:color="auto" w:fill="auto"/>
            <w:noWrap/>
            <w:vAlign w:val="center"/>
          </w:tcPr>
          <w:p w14:paraId="60CB9770" w14:textId="2EC32CEB" w:rsidR="002E33E7" w:rsidRPr="00BE1863" w:rsidRDefault="002E33E7" w:rsidP="00821F3B">
            <w:pPr>
              <w:jc w:val="center"/>
              <w:rPr>
                <w:color w:val="000000"/>
                <w:sz w:val="22"/>
              </w:rPr>
            </w:pPr>
            <w:r w:rsidRPr="00BE1863">
              <w:rPr>
                <w:sz w:val="22"/>
              </w:rPr>
              <w:t>700</w:t>
            </w:r>
          </w:p>
        </w:tc>
        <w:tc>
          <w:tcPr>
            <w:tcW w:w="1353" w:type="dxa"/>
            <w:tcBorders>
              <w:top w:val="nil"/>
              <w:left w:val="nil"/>
              <w:bottom w:val="single" w:sz="4" w:space="0" w:color="auto"/>
              <w:right w:val="single" w:sz="4" w:space="0" w:color="auto"/>
            </w:tcBorders>
            <w:shd w:val="clear" w:color="auto" w:fill="auto"/>
            <w:noWrap/>
            <w:vAlign w:val="center"/>
          </w:tcPr>
          <w:p w14:paraId="7D7D7B47" w14:textId="109EFB61" w:rsidR="002E33E7" w:rsidRPr="00BE1863" w:rsidRDefault="002E33E7" w:rsidP="00821F3B">
            <w:pPr>
              <w:jc w:val="center"/>
              <w:rPr>
                <w:color w:val="000000"/>
                <w:sz w:val="22"/>
              </w:rPr>
            </w:pPr>
            <w:r w:rsidRPr="00BE1863">
              <w:rPr>
                <w:sz w:val="22"/>
              </w:rPr>
              <w:t>600</w:t>
            </w:r>
          </w:p>
        </w:tc>
        <w:tc>
          <w:tcPr>
            <w:tcW w:w="1353" w:type="dxa"/>
            <w:tcBorders>
              <w:top w:val="nil"/>
              <w:left w:val="nil"/>
              <w:bottom w:val="single" w:sz="4" w:space="0" w:color="auto"/>
              <w:right w:val="single" w:sz="4" w:space="0" w:color="auto"/>
            </w:tcBorders>
            <w:shd w:val="clear" w:color="auto" w:fill="auto"/>
            <w:noWrap/>
            <w:vAlign w:val="center"/>
          </w:tcPr>
          <w:p w14:paraId="51EF450F" w14:textId="3E1E8112" w:rsidR="002E33E7" w:rsidRPr="00BE1863" w:rsidRDefault="002E33E7" w:rsidP="00821F3B">
            <w:pPr>
              <w:jc w:val="center"/>
              <w:rPr>
                <w:color w:val="000000"/>
                <w:sz w:val="22"/>
              </w:rPr>
            </w:pPr>
            <w:r w:rsidRPr="00BE1863">
              <w:rPr>
                <w:sz w:val="22"/>
              </w:rPr>
              <w:t>0</w:t>
            </w:r>
          </w:p>
        </w:tc>
      </w:tr>
      <w:tr w:rsidR="002E33E7" w:rsidRPr="0039677D" w14:paraId="28F47803" w14:textId="77777777" w:rsidTr="0068373D">
        <w:trPr>
          <w:trHeight w:val="288"/>
        </w:trPr>
        <w:tc>
          <w:tcPr>
            <w:tcW w:w="1352" w:type="dxa"/>
            <w:tcBorders>
              <w:top w:val="nil"/>
              <w:left w:val="single" w:sz="4" w:space="0" w:color="auto"/>
              <w:bottom w:val="single" w:sz="4" w:space="0" w:color="auto"/>
              <w:right w:val="single" w:sz="4" w:space="0" w:color="auto"/>
            </w:tcBorders>
            <w:shd w:val="clear" w:color="auto" w:fill="auto"/>
            <w:noWrap/>
            <w:vAlign w:val="center"/>
            <w:hideMark/>
          </w:tcPr>
          <w:p w14:paraId="10E7161E" w14:textId="77777777" w:rsidR="002E33E7" w:rsidRPr="00BE1863" w:rsidRDefault="002E33E7" w:rsidP="00821F3B">
            <w:pPr>
              <w:jc w:val="center"/>
              <w:rPr>
                <w:color w:val="000000"/>
                <w:sz w:val="22"/>
              </w:rPr>
            </w:pPr>
            <w:r w:rsidRPr="00BE1863">
              <w:rPr>
                <w:color w:val="000000"/>
                <w:sz w:val="22"/>
              </w:rPr>
              <w:t>2012</w:t>
            </w:r>
          </w:p>
        </w:tc>
        <w:tc>
          <w:tcPr>
            <w:tcW w:w="1353" w:type="dxa"/>
            <w:tcBorders>
              <w:top w:val="single" w:sz="4" w:space="0" w:color="auto"/>
              <w:left w:val="nil"/>
              <w:bottom w:val="single" w:sz="4" w:space="0" w:color="auto"/>
              <w:right w:val="single" w:sz="4" w:space="0" w:color="auto"/>
            </w:tcBorders>
            <w:vAlign w:val="center"/>
          </w:tcPr>
          <w:p w14:paraId="71A48B7E" w14:textId="334A584C" w:rsidR="002E33E7" w:rsidRPr="00BE1863" w:rsidRDefault="002E33E7" w:rsidP="00821F3B">
            <w:pPr>
              <w:jc w:val="center"/>
              <w:rPr>
                <w:color w:val="000000"/>
                <w:sz w:val="22"/>
              </w:rPr>
            </w:pPr>
            <w:r w:rsidRPr="00BE1863">
              <w:rPr>
                <w:sz w:val="22"/>
              </w:rPr>
              <w:t>1,685</w:t>
            </w:r>
          </w:p>
        </w:tc>
        <w:tc>
          <w:tcPr>
            <w:tcW w:w="1352" w:type="dxa"/>
            <w:tcBorders>
              <w:top w:val="nil"/>
              <w:left w:val="single" w:sz="4" w:space="0" w:color="auto"/>
              <w:bottom w:val="single" w:sz="4" w:space="0" w:color="auto"/>
              <w:right w:val="single" w:sz="4" w:space="0" w:color="auto"/>
            </w:tcBorders>
            <w:shd w:val="clear" w:color="auto" w:fill="auto"/>
            <w:noWrap/>
            <w:vAlign w:val="center"/>
            <w:hideMark/>
          </w:tcPr>
          <w:p w14:paraId="0C4831E0" w14:textId="58B697F6" w:rsidR="002E33E7" w:rsidRPr="00BE1863" w:rsidRDefault="002E33E7" w:rsidP="00821F3B">
            <w:pPr>
              <w:jc w:val="center"/>
              <w:rPr>
                <w:color w:val="000000"/>
                <w:sz w:val="22"/>
              </w:rPr>
            </w:pPr>
            <w:r w:rsidRPr="00BE1863">
              <w:rPr>
                <w:sz w:val="22"/>
              </w:rPr>
              <w:t>1,900</w:t>
            </w:r>
          </w:p>
        </w:tc>
        <w:tc>
          <w:tcPr>
            <w:tcW w:w="1353" w:type="dxa"/>
            <w:tcBorders>
              <w:top w:val="nil"/>
              <w:left w:val="nil"/>
              <w:bottom w:val="single" w:sz="4" w:space="0" w:color="auto"/>
              <w:right w:val="single" w:sz="4" w:space="0" w:color="auto"/>
            </w:tcBorders>
            <w:shd w:val="clear" w:color="auto" w:fill="auto"/>
            <w:noWrap/>
            <w:vAlign w:val="center"/>
          </w:tcPr>
          <w:p w14:paraId="48AE21F6" w14:textId="7DDA8DC1" w:rsidR="002E33E7" w:rsidRPr="00BE1863" w:rsidRDefault="002E33E7" w:rsidP="00821F3B">
            <w:pPr>
              <w:jc w:val="center"/>
              <w:rPr>
                <w:color w:val="000000"/>
                <w:sz w:val="22"/>
                <w:highlight w:val="yellow"/>
              </w:rPr>
            </w:pPr>
            <w:r w:rsidRPr="00BE1863">
              <w:rPr>
                <w:sz w:val="22"/>
              </w:rPr>
              <w:t>0</w:t>
            </w:r>
          </w:p>
        </w:tc>
        <w:tc>
          <w:tcPr>
            <w:tcW w:w="1352" w:type="dxa"/>
            <w:tcBorders>
              <w:top w:val="nil"/>
              <w:left w:val="nil"/>
              <w:bottom w:val="single" w:sz="4" w:space="0" w:color="auto"/>
              <w:right w:val="single" w:sz="4" w:space="0" w:color="auto"/>
            </w:tcBorders>
            <w:shd w:val="clear" w:color="auto" w:fill="auto"/>
            <w:noWrap/>
            <w:vAlign w:val="center"/>
            <w:hideMark/>
          </w:tcPr>
          <w:p w14:paraId="5B59AE10" w14:textId="10A2DF73" w:rsidR="002E33E7" w:rsidRPr="00BE1863" w:rsidRDefault="002E33E7" w:rsidP="00821F3B">
            <w:pPr>
              <w:jc w:val="center"/>
              <w:rPr>
                <w:color w:val="000000"/>
                <w:sz w:val="22"/>
              </w:rPr>
            </w:pPr>
            <w:r w:rsidRPr="00BE1863">
              <w:rPr>
                <w:sz w:val="22"/>
              </w:rPr>
              <w:t>1,800</w:t>
            </w:r>
          </w:p>
        </w:tc>
        <w:tc>
          <w:tcPr>
            <w:tcW w:w="1353" w:type="dxa"/>
            <w:tcBorders>
              <w:top w:val="nil"/>
              <w:left w:val="nil"/>
              <w:bottom w:val="single" w:sz="4" w:space="0" w:color="auto"/>
              <w:right w:val="single" w:sz="4" w:space="0" w:color="auto"/>
            </w:tcBorders>
            <w:shd w:val="clear" w:color="auto" w:fill="auto"/>
            <w:noWrap/>
            <w:vAlign w:val="center"/>
            <w:hideMark/>
          </w:tcPr>
          <w:p w14:paraId="1A777188" w14:textId="194FF29F" w:rsidR="002E33E7" w:rsidRPr="00BE1863" w:rsidRDefault="002E33E7" w:rsidP="00821F3B">
            <w:pPr>
              <w:jc w:val="center"/>
              <w:rPr>
                <w:color w:val="000000"/>
                <w:sz w:val="22"/>
              </w:rPr>
            </w:pPr>
            <w:r w:rsidRPr="00BE1863">
              <w:rPr>
                <w:sz w:val="22"/>
              </w:rPr>
              <w:t>1,400</w:t>
            </w:r>
          </w:p>
        </w:tc>
        <w:tc>
          <w:tcPr>
            <w:tcW w:w="1353" w:type="dxa"/>
            <w:tcBorders>
              <w:top w:val="nil"/>
              <w:left w:val="nil"/>
              <w:bottom w:val="single" w:sz="4" w:space="0" w:color="auto"/>
              <w:right w:val="single" w:sz="4" w:space="0" w:color="auto"/>
            </w:tcBorders>
            <w:shd w:val="clear" w:color="auto" w:fill="auto"/>
            <w:noWrap/>
            <w:vAlign w:val="center"/>
            <w:hideMark/>
          </w:tcPr>
          <w:p w14:paraId="734B4073" w14:textId="56136B7F" w:rsidR="002E33E7" w:rsidRPr="00BE1863" w:rsidRDefault="002E33E7" w:rsidP="00821F3B">
            <w:pPr>
              <w:jc w:val="center"/>
              <w:rPr>
                <w:color w:val="000000"/>
                <w:sz w:val="22"/>
              </w:rPr>
            </w:pPr>
            <w:r w:rsidRPr="00BE1863">
              <w:rPr>
                <w:sz w:val="22"/>
              </w:rPr>
              <w:t>900</w:t>
            </w:r>
          </w:p>
        </w:tc>
      </w:tr>
      <w:tr w:rsidR="002E33E7" w:rsidRPr="0039677D" w14:paraId="44AB8161" w14:textId="77777777" w:rsidTr="0068373D">
        <w:trPr>
          <w:trHeight w:val="288"/>
        </w:trPr>
        <w:tc>
          <w:tcPr>
            <w:tcW w:w="1352" w:type="dxa"/>
            <w:tcBorders>
              <w:top w:val="nil"/>
              <w:left w:val="single" w:sz="4" w:space="0" w:color="auto"/>
              <w:bottom w:val="single" w:sz="4" w:space="0" w:color="auto"/>
              <w:right w:val="single" w:sz="4" w:space="0" w:color="auto"/>
            </w:tcBorders>
            <w:shd w:val="clear" w:color="auto" w:fill="auto"/>
            <w:noWrap/>
            <w:vAlign w:val="center"/>
            <w:hideMark/>
          </w:tcPr>
          <w:p w14:paraId="45ACC4DC" w14:textId="77777777" w:rsidR="002E33E7" w:rsidRPr="00BE1863" w:rsidRDefault="002E33E7" w:rsidP="00821F3B">
            <w:pPr>
              <w:jc w:val="center"/>
              <w:rPr>
                <w:color w:val="000000"/>
                <w:sz w:val="22"/>
              </w:rPr>
            </w:pPr>
            <w:r w:rsidRPr="00BE1863">
              <w:rPr>
                <w:color w:val="000000"/>
                <w:sz w:val="22"/>
              </w:rPr>
              <w:t>2013</w:t>
            </w:r>
          </w:p>
        </w:tc>
        <w:tc>
          <w:tcPr>
            <w:tcW w:w="1353" w:type="dxa"/>
            <w:tcBorders>
              <w:top w:val="single" w:sz="4" w:space="0" w:color="auto"/>
              <w:left w:val="nil"/>
              <w:bottom w:val="single" w:sz="4" w:space="0" w:color="auto"/>
              <w:right w:val="single" w:sz="4" w:space="0" w:color="auto"/>
            </w:tcBorders>
            <w:vAlign w:val="center"/>
          </w:tcPr>
          <w:p w14:paraId="1BEBBDE9" w14:textId="420FC818" w:rsidR="002E33E7" w:rsidRPr="00BE1863" w:rsidRDefault="002E33E7" w:rsidP="00821F3B">
            <w:pPr>
              <w:jc w:val="center"/>
              <w:rPr>
                <w:color w:val="000000"/>
                <w:sz w:val="22"/>
              </w:rPr>
            </w:pPr>
            <w:r w:rsidRPr="00BE1863">
              <w:rPr>
                <w:sz w:val="22"/>
              </w:rPr>
              <w:t>4,418</w:t>
            </w:r>
          </w:p>
        </w:tc>
        <w:tc>
          <w:tcPr>
            <w:tcW w:w="1352" w:type="dxa"/>
            <w:tcBorders>
              <w:top w:val="nil"/>
              <w:left w:val="single" w:sz="4" w:space="0" w:color="auto"/>
              <w:bottom w:val="single" w:sz="4" w:space="0" w:color="auto"/>
              <w:right w:val="single" w:sz="4" w:space="0" w:color="auto"/>
            </w:tcBorders>
            <w:shd w:val="clear" w:color="auto" w:fill="auto"/>
            <w:noWrap/>
            <w:vAlign w:val="center"/>
            <w:hideMark/>
          </w:tcPr>
          <w:p w14:paraId="1009077D" w14:textId="1E52EEC7" w:rsidR="002E33E7" w:rsidRPr="00BE1863" w:rsidRDefault="002E33E7" w:rsidP="00821F3B">
            <w:pPr>
              <w:jc w:val="center"/>
              <w:rPr>
                <w:color w:val="000000"/>
                <w:sz w:val="22"/>
              </w:rPr>
            </w:pPr>
            <w:r w:rsidRPr="00BE1863">
              <w:rPr>
                <w:sz w:val="22"/>
              </w:rPr>
              <w:t>5,000</w:t>
            </w:r>
          </w:p>
        </w:tc>
        <w:tc>
          <w:tcPr>
            <w:tcW w:w="1353" w:type="dxa"/>
            <w:tcBorders>
              <w:top w:val="nil"/>
              <w:left w:val="nil"/>
              <w:bottom w:val="single" w:sz="4" w:space="0" w:color="auto"/>
              <w:right w:val="single" w:sz="4" w:space="0" w:color="auto"/>
            </w:tcBorders>
            <w:shd w:val="clear" w:color="auto" w:fill="auto"/>
            <w:noWrap/>
            <w:vAlign w:val="center"/>
          </w:tcPr>
          <w:p w14:paraId="4570F88A" w14:textId="67C55CDA" w:rsidR="002E33E7" w:rsidRPr="00BE1863" w:rsidRDefault="002E33E7" w:rsidP="00821F3B">
            <w:pPr>
              <w:jc w:val="center"/>
              <w:rPr>
                <w:color w:val="000000"/>
                <w:sz w:val="22"/>
                <w:highlight w:val="yellow"/>
              </w:rPr>
            </w:pPr>
            <w:r w:rsidRPr="00BE1863">
              <w:rPr>
                <w:sz w:val="22"/>
              </w:rPr>
              <w:t>0</w:t>
            </w:r>
          </w:p>
        </w:tc>
        <w:tc>
          <w:tcPr>
            <w:tcW w:w="1352" w:type="dxa"/>
            <w:tcBorders>
              <w:top w:val="nil"/>
              <w:left w:val="nil"/>
              <w:bottom w:val="single" w:sz="4" w:space="0" w:color="auto"/>
              <w:right w:val="single" w:sz="4" w:space="0" w:color="auto"/>
            </w:tcBorders>
            <w:shd w:val="clear" w:color="auto" w:fill="auto"/>
            <w:noWrap/>
            <w:vAlign w:val="center"/>
          </w:tcPr>
          <w:p w14:paraId="19FB8D78" w14:textId="12C30F14" w:rsidR="002E33E7" w:rsidRPr="00BE1863" w:rsidRDefault="002E33E7" w:rsidP="00821F3B">
            <w:pPr>
              <w:jc w:val="center"/>
              <w:rPr>
                <w:color w:val="000000"/>
                <w:sz w:val="22"/>
              </w:rPr>
            </w:pPr>
            <w:r w:rsidRPr="00BE1863">
              <w:rPr>
                <w:sz w:val="22"/>
              </w:rPr>
              <w:t>3,400</w:t>
            </w:r>
          </w:p>
        </w:tc>
        <w:tc>
          <w:tcPr>
            <w:tcW w:w="1353" w:type="dxa"/>
            <w:tcBorders>
              <w:top w:val="nil"/>
              <w:left w:val="nil"/>
              <w:bottom w:val="single" w:sz="4" w:space="0" w:color="auto"/>
              <w:right w:val="single" w:sz="4" w:space="0" w:color="auto"/>
            </w:tcBorders>
            <w:shd w:val="clear" w:color="auto" w:fill="auto"/>
            <w:noWrap/>
            <w:vAlign w:val="center"/>
            <w:hideMark/>
          </w:tcPr>
          <w:p w14:paraId="626EE512" w14:textId="32C1F8DA" w:rsidR="002E33E7" w:rsidRPr="00BE1863" w:rsidRDefault="002E33E7" w:rsidP="00821F3B">
            <w:pPr>
              <w:jc w:val="center"/>
              <w:rPr>
                <w:color w:val="000000"/>
                <w:sz w:val="22"/>
              </w:rPr>
            </w:pPr>
            <w:r w:rsidRPr="00BE1863">
              <w:rPr>
                <w:sz w:val="22"/>
              </w:rPr>
              <w:t>2,600</w:t>
            </w:r>
          </w:p>
        </w:tc>
        <w:tc>
          <w:tcPr>
            <w:tcW w:w="1353" w:type="dxa"/>
            <w:tcBorders>
              <w:top w:val="nil"/>
              <w:left w:val="nil"/>
              <w:bottom w:val="single" w:sz="4" w:space="0" w:color="auto"/>
              <w:right w:val="single" w:sz="4" w:space="0" w:color="auto"/>
            </w:tcBorders>
            <w:shd w:val="clear" w:color="auto" w:fill="auto"/>
            <w:noWrap/>
            <w:vAlign w:val="center"/>
            <w:hideMark/>
          </w:tcPr>
          <w:p w14:paraId="5356D162" w14:textId="50914CC5" w:rsidR="002E33E7" w:rsidRPr="00BE1863" w:rsidRDefault="002E33E7" w:rsidP="00821F3B">
            <w:pPr>
              <w:jc w:val="center"/>
              <w:rPr>
                <w:color w:val="000000"/>
                <w:sz w:val="22"/>
              </w:rPr>
            </w:pPr>
            <w:r w:rsidRPr="00BE1863">
              <w:rPr>
                <w:sz w:val="22"/>
              </w:rPr>
              <w:t>1,800</w:t>
            </w:r>
          </w:p>
        </w:tc>
      </w:tr>
      <w:tr w:rsidR="002E33E7" w:rsidRPr="0039677D" w14:paraId="7A8290B2" w14:textId="77777777" w:rsidTr="0068373D">
        <w:trPr>
          <w:trHeight w:val="288"/>
        </w:trPr>
        <w:tc>
          <w:tcPr>
            <w:tcW w:w="1352" w:type="dxa"/>
            <w:tcBorders>
              <w:top w:val="nil"/>
              <w:left w:val="single" w:sz="4" w:space="0" w:color="auto"/>
              <w:bottom w:val="single" w:sz="4" w:space="0" w:color="auto"/>
              <w:right w:val="single" w:sz="4" w:space="0" w:color="auto"/>
            </w:tcBorders>
            <w:shd w:val="clear" w:color="auto" w:fill="auto"/>
            <w:noWrap/>
            <w:vAlign w:val="center"/>
            <w:hideMark/>
          </w:tcPr>
          <w:p w14:paraId="028F4BD8" w14:textId="77777777" w:rsidR="002E33E7" w:rsidRPr="00BE1863" w:rsidRDefault="002E33E7" w:rsidP="00821F3B">
            <w:pPr>
              <w:jc w:val="center"/>
              <w:rPr>
                <w:color w:val="000000"/>
                <w:sz w:val="22"/>
              </w:rPr>
            </w:pPr>
            <w:r w:rsidRPr="00BE1863">
              <w:rPr>
                <w:color w:val="000000"/>
                <w:sz w:val="22"/>
              </w:rPr>
              <w:t>2014</w:t>
            </w:r>
          </w:p>
        </w:tc>
        <w:tc>
          <w:tcPr>
            <w:tcW w:w="1353" w:type="dxa"/>
            <w:tcBorders>
              <w:top w:val="single" w:sz="4" w:space="0" w:color="auto"/>
              <w:left w:val="nil"/>
              <w:bottom w:val="single" w:sz="4" w:space="0" w:color="auto"/>
              <w:right w:val="single" w:sz="4" w:space="0" w:color="auto"/>
            </w:tcBorders>
            <w:vAlign w:val="center"/>
          </w:tcPr>
          <w:p w14:paraId="08F34519" w14:textId="713B12EE" w:rsidR="002E33E7" w:rsidRPr="00BE1863" w:rsidRDefault="002E33E7" w:rsidP="00821F3B">
            <w:pPr>
              <w:jc w:val="center"/>
              <w:rPr>
                <w:color w:val="000000"/>
                <w:sz w:val="22"/>
              </w:rPr>
            </w:pPr>
            <w:r w:rsidRPr="00BE1863">
              <w:rPr>
                <w:sz w:val="22"/>
              </w:rPr>
              <w:t>1,173</w:t>
            </w:r>
          </w:p>
        </w:tc>
        <w:tc>
          <w:tcPr>
            <w:tcW w:w="1352" w:type="dxa"/>
            <w:tcBorders>
              <w:top w:val="nil"/>
              <w:left w:val="single" w:sz="4" w:space="0" w:color="auto"/>
              <w:bottom w:val="single" w:sz="4" w:space="0" w:color="auto"/>
              <w:right w:val="single" w:sz="4" w:space="0" w:color="auto"/>
            </w:tcBorders>
            <w:shd w:val="clear" w:color="auto" w:fill="auto"/>
            <w:noWrap/>
            <w:vAlign w:val="center"/>
            <w:hideMark/>
          </w:tcPr>
          <w:p w14:paraId="4E5D5CA2" w14:textId="25B59B33" w:rsidR="002E33E7" w:rsidRPr="00BE1863" w:rsidRDefault="002E33E7" w:rsidP="00821F3B">
            <w:pPr>
              <w:jc w:val="center"/>
              <w:rPr>
                <w:color w:val="000000"/>
                <w:sz w:val="22"/>
              </w:rPr>
            </w:pPr>
            <w:r w:rsidRPr="00BE1863">
              <w:rPr>
                <w:sz w:val="22"/>
              </w:rPr>
              <w:t>1,300</w:t>
            </w:r>
          </w:p>
        </w:tc>
        <w:tc>
          <w:tcPr>
            <w:tcW w:w="1353" w:type="dxa"/>
            <w:tcBorders>
              <w:top w:val="nil"/>
              <w:left w:val="nil"/>
              <w:bottom w:val="single" w:sz="4" w:space="0" w:color="auto"/>
              <w:right w:val="single" w:sz="4" w:space="0" w:color="auto"/>
            </w:tcBorders>
            <w:shd w:val="clear" w:color="auto" w:fill="auto"/>
            <w:noWrap/>
            <w:vAlign w:val="center"/>
          </w:tcPr>
          <w:p w14:paraId="6EB79169" w14:textId="4EEAA779" w:rsidR="002E33E7" w:rsidRPr="00BE1863" w:rsidRDefault="002E33E7" w:rsidP="00821F3B">
            <w:pPr>
              <w:jc w:val="center"/>
              <w:rPr>
                <w:color w:val="000000"/>
                <w:sz w:val="22"/>
                <w:highlight w:val="yellow"/>
              </w:rPr>
            </w:pPr>
            <w:r w:rsidRPr="00BE1863">
              <w:rPr>
                <w:sz w:val="22"/>
              </w:rPr>
              <w:t>0</w:t>
            </w:r>
          </w:p>
        </w:tc>
        <w:tc>
          <w:tcPr>
            <w:tcW w:w="1352" w:type="dxa"/>
            <w:tcBorders>
              <w:top w:val="nil"/>
              <w:left w:val="nil"/>
              <w:bottom w:val="single" w:sz="4" w:space="0" w:color="auto"/>
              <w:right w:val="single" w:sz="4" w:space="0" w:color="auto"/>
            </w:tcBorders>
            <w:shd w:val="clear" w:color="auto" w:fill="auto"/>
            <w:noWrap/>
            <w:vAlign w:val="center"/>
          </w:tcPr>
          <w:p w14:paraId="135262D5" w14:textId="59C6C255" w:rsidR="002E33E7" w:rsidRPr="00BE1863" w:rsidRDefault="002E33E7" w:rsidP="00821F3B">
            <w:pPr>
              <w:jc w:val="center"/>
              <w:rPr>
                <w:color w:val="000000"/>
                <w:sz w:val="22"/>
              </w:rPr>
            </w:pPr>
            <w:r w:rsidRPr="00BE1863">
              <w:rPr>
                <w:sz w:val="22"/>
              </w:rPr>
              <w:t>2,100</w:t>
            </w:r>
          </w:p>
        </w:tc>
        <w:tc>
          <w:tcPr>
            <w:tcW w:w="1353" w:type="dxa"/>
            <w:tcBorders>
              <w:top w:val="nil"/>
              <w:left w:val="nil"/>
              <w:bottom w:val="single" w:sz="4" w:space="0" w:color="auto"/>
              <w:right w:val="single" w:sz="4" w:space="0" w:color="auto"/>
            </w:tcBorders>
            <w:shd w:val="clear" w:color="auto" w:fill="auto"/>
            <w:noWrap/>
            <w:vAlign w:val="center"/>
            <w:hideMark/>
          </w:tcPr>
          <w:p w14:paraId="5AA63841" w14:textId="3C3EC3A2" w:rsidR="002E33E7" w:rsidRPr="00BE1863" w:rsidRDefault="002E33E7" w:rsidP="00821F3B">
            <w:pPr>
              <w:jc w:val="center"/>
              <w:rPr>
                <w:color w:val="000000"/>
                <w:sz w:val="22"/>
              </w:rPr>
            </w:pPr>
            <w:r w:rsidRPr="00BE1863">
              <w:rPr>
                <w:sz w:val="22"/>
              </w:rPr>
              <w:t>1,800</w:t>
            </w:r>
          </w:p>
        </w:tc>
        <w:tc>
          <w:tcPr>
            <w:tcW w:w="1353" w:type="dxa"/>
            <w:tcBorders>
              <w:top w:val="nil"/>
              <w:left w:val="nil"/>
              <w:bottom w:val="single" w:sz="4" w:space="0" w:color="auto"/>
              <w:right w:val="single" w:sz="4" w:space="0" w:color="auto"/>
            </w:tcBorders>
            <w:shd w:val="clear" w:color="auto" w:fill="auto"/>
            <w:noWrap/>
            <w:vAlign w:val="center"/>
            <w:hideMark/>
          </w:tcPr>
          <w:p w14:paraId="35C8FC44" w14:textId="1715BBD8" w:rsidR="002E33E7" w:rsidRPr="00BE1863" w:rsidRDefault="002E33E7" w:rsidP="00821F3B">
            <w:pPr>
              <w:jc w:val="center"/>
              <w:rPr>
                <w:color w:val="000000"/>
                <w:sz w:val="22"/>
              </w:rPr>
            </w:pPr>
            <w:r w:rsidRPr="00BE1863">
              <w:rPr>
                <w:sz w:val="22"/>
              </w:rPr>
              <w:t>1,300</w:t>
            </w:r>
          </w:p>
        </w:tc>
      </w:tr>
      <w:tr w:rsidR="002E33E7" w:rsidRPr="0039677D" w14:paraId="6375932C" w14:textId="77777777" w:rsidTr="0068373D">
        <w:trPr>
          <w:trHeight w:val="288"/>
        </w:trPr>
        <w:tc>
          <w:tcPr>
            <w:tcW w:w="1352" w:type="dxa"/>
            <w:tcBorders>
              <w:top w:val="nil"/>
              <w:left w:val="single" w:sz="4" w:space="0" w:color="auto"/>
              <w:bottom w:val="single" w:sz="4" w:space="0" w:color="auto"/>
              <w:right w:val="single" w:sz="4" w:space="0" w:color="auto"/>
            </w:tcBorders>
            <w:shd w:val="clear" w:color="auto" w:fill="auto"/>
            <w:noWrap/>
            <w:vAlign w:val="center"/>
            <w:hideMark/>
          </w:tcPr>
          <w:p w14:paraId="7DF5EE40" w14:textId="77777777" w:rsidR="002E33E7" w:rsidRPr="00BE1863" w:rsidRDefault="002E33E7" w:rsidP="00821F3B">
            <w:pPr>
              <w:jc w:val="center"/>
              <w:rPr>
                <w:color w:val="000000"/>
                <w:sz w:val="22"/>
              </w:rPr>
            </w:pPr>
            <w:r w:rsidRPr="00BE1863">
              <w:rPr>
                <w:color w:val="000000"/>
                <w:sz w:val="22"/>
              </w:rPr>
              <w:t>2015</w:t>
            </w:r>
          </w:p>
        </w:tc>
        <w:tc>
          <w:tcPr>
            <w:tcW w:w="1353" w:type="dxa"/>
            <w:tcBorders>
              <w:top w:val="single" w:sz="4" w:space="0" w:color="auto"/>
              <w:left w:val="nil"/>
              <w:bottom w:val="single" w:sz="4" w:space="0" w:color="auto"/>
              <w:right w:val="single" w:sz="4" w:space="0" w:color="auto"/>
            </w:tcBorders>
            <w:vAlign w:val="center"/>
          </w:tcPr>
          <w:p w14:paraId="7D2AB46B" w14:textId="37D3FE66" w:rsidR="002E33E7" w:rsidRPr="00BE1863" w:rsidRDefault="002E33E7" w:rsidP="00821F3B">
            <w:pPr>
              <w:jc w:val="center"/>
              <w:rPr>
                <w:color w:val="000000"/>
                <w:sz w:val="22"/>
              </w:rPr>
            </w:pPr>
            <w:r w:rsidRPr="00BE1863">
              <w:rPr>
                <w:sz w:val="22"/>
              </w:rPr>
              <w:t>3,613</w:t>
            </w:r>
          </w:p>
        </w:tc>
        <w:tc>
          <w:tcPr>
            <w:tcW w:w="1352" w:type="dxa"/>
            <w:tcBorders>
              <w:top w:val="nil"/>
              <w:left w:val="single" w:sz="4" w:space="0" w:color="auto"/>
              <w:bottom w:val="single" w:sz="4" w:space="0" w:color="auto"/>
              <w:right w:val="single" w:sz="4" w:space="0" w:color="auto"/>
            </w:tcBorders>
            <w:shd w:val="clear" w:color="auto" w:fill="auto"/>
            <w:noWrap/>
            <w:vAlign w:val="center"/>
            <w:hideMark/>
          </w:tcPr>
          <w:p w14:paraId="5EC21B8A" w14:textId="792FE499" w:rsidR="002E33E7" w:rsidRPr="00BE1863" w:rsidRDefault="002E33E7" w:rsidP="00821F3B">
            <w:pPr>
              <w:jc w:val="center"/>
              <w:rPr>
                <w:color w:val="000000"/>
                <w:sz w:val="22"/>
              </w:rPr>
            </w:pPr>
            <w:r w:rsidRPr="00BE1863">
              <w:rPr>
                <w:sz w:val="22"/>
              </w:rPr>
              <w:t>4,100</w:t>
            </w:r>
          </w:p>
        </w:tc>
        <w:tc>
          <w:tcPr>
            <w:tcW w:w="1353" w:type="dxa"/>
            <w:tcBorders>
              <w:top w:val="nil"/>
              <w:left w:val="nil"/>
              <w:bottom w:val="single" w:sz="4" w:space="0" w:color="auto"/>
              <w:right w:val="single" w:sz="4" w:space="0" w:color="auto"/>
            </w:tcBorders>
            <w:shd w:val="clear" w:color="auto" w:fill="auto"/>
            <w:noWrap/>
            <w:vAlign w:val="center"/>
          </w:tcPr>
          <w:p w14:paraId="57A75493" w14:textId="66ADD7DF" w:rsidR="002E33E7" w:rsidRPr="00BE1863" w:rsidRDefault="002E33E7" w:rsidP="00821F3B">
            <w:pPr>
              <w:jc w:val="center"/>
              <w:rPr>
                <w:color w:val="000000"/>
                <w:sz w:val="22"/>
                <w:highlight w:val="yellow"/>
              </w:rPr>
            </w:pPr>
            <w:r w:rsidRPr="00BE1863">
              <w:rPr>
                <w:sz w:val="22"/>
              </w:rPr>
              <w:t>0</w:t>
            </w:r>
          </w:p>
        </w:tc>
        <w:tc>
          <w:tcPr>
            <w:tcW w:w="1352" w:type="dxa"/>
            <w:tcBorders>
              <w:top w:val="nil"/>
              <w:left w:val="nil"/>
              <w:bottom w:val="single" w:sz="4" w:space="0" w:color="auto"/>
              <w:right w:val="single" w:sz="4" w:space="0" w:color="auto"/>
            </w:tcBorders>
            <w:shd w:val="clear" w:color="auto" w:fill="auto"/>
            <w:noWrap/>
            <w:vAlign w:val="center"/>
          </w:tcPr>
          <w:p w14:paraId="49646444" w14:textId="39D10E69" w:rsidR="002E33E7" w:rsidRPr="00BE1863" w:rsidRDefault="002E33E7" w:rsidP="00821F3B">
            <w:pPr>
              <w:jc w:val="center"/>
              <w:rPr>
                <w:color w:val="000000"/>
                <w:sz w:val="22"/>
              </w:rPr>
            </w:pPr>
            <w:r w:rsidRPr="00BE1863">
              <w:rPr>
                <w:sz w:val="22"/>
              </w:rPr>
              <w:t>2,600</w:t>
            </w:r>
          </w:p>
        </w:tc>
        <w:tc>
          <w:tcPr>
            <w:tcW w:w="1353" w:type="dxa"/>
            <w:tcBorders>
              <w:top w:val="nil"/>
              <w:left w:val="nil"/>
              <w:bottom w:val="single" w:sz="4" w:space="0" w:color="auto"/>
              <w:right w:val="single" w:sz="4" w:space="0" w:color="auto"/>
            </w:tcBorders>
            <w:shd w:val="clear" w:color="auto" w:fill="auto"/>
            <w:noWrap/>
            <w:vAlign w:val="center"/>
            <w:hideMark/>
          </w:tcPr>
          <w:p w14:paraId="2B676EE1" w14:textId="5E38B63B" w:rsidR="002E33E7" w:rsidRPr="00BE1863" w:rsidRDefault="002E33E7" w:rsidP="00821F3B">
            <w:pPr>
              <w:jc w:val="center"/>
              <w:rPr>
                <w:color w:val="000000"/>
                <w:sz w:val="22"/>
              </w:rPr>
            </w:pPr>
            <w:r w:rsidRPr="00BE1863">
              <w:rPr>
                <w:sz w:val="22"/>
              </w:rPr>
              <w:t>2,300</w:t>
            </w:r>
          </w:p>
        </w:tc>
        <w:tc>
          <w:tcPr>
            <w:tcW w:w="1353" w:type="dxa"/>
            <w:tcBorders>
              <w:top w:val="nil"/>
              <w:left w:val="nil"/>
              <w:bottom w:val="single" w:sz="4" w:space="0" w:color="auto"/>
              <w:right w:val="single" w:sz="4" w:space="0" w:color="auto"/>
            </w:tcBorders>
            <w:shd w:val="clear" w:color="auto" w:fill="auto"/>
            <w:noWrap/>
            <w:vAlign w:val="center"/>
            <w:hideMark/>
          </w:tcPr>
          <w:p w14:paraId="3A156FFA" w14:textId="4E851232" w:rsidR="002E33E7" w:rsidRPr="00BE1863" w:rsidRDefault="002E33E7" w:rsidP="00821F3B">
            <w:pPr>
              <w:jc w:val="center"/>
              <w:rPr>
                <w:color w:val="000000"/>
                <w:sz w:val="22"/>
              </w:rPr>
            </w:pPr>
            <w:r w:rsidRPr="00BE1863">
              <w:rPr>
                <w:sz w:val="22"/>
              </w:rPr>
              <w:t>900</w:t>
            </w:r>
          </w:p>
        </w:tc>
      </w:tr>
      <w:tr w:rsidR="002E33E7" w:rsidRPr="0039677D" w14:paraId="341F2630" w14:textId="77777777" w:rsidTr="0068373D">
        <w:trPr>
          <w:trHeight w:val="288"/>
        </w:trPr>
        <w:tc>
          <w:tcPr>
            <w:tcW w:w="1352" w:type="dxa"/>
            <w:tcBorders>
              <w:top w:val="nil"/>
              <w:left w:val="single" w:sz="4" w:space="0" w:color="auto"/>
              <w:bottom w:val="single" w:sz="4" w:space="0" w:color="auto"/>
              <w:right w:val="single" w:sz="4" w:space="0" w:color="auto"/>
            </w:tcBorders>
            <w:shd w:val="clear" w:color="auto" w:fill="auto"/>
            <w:noWrap/>
            <w:vAlign w:val="center"/>
            <w:hideMark/>
          </w:tcPr>
          <w:p w14:paraId="309BF885" w14:textId="77777777" w:rsidR="002E33E7" w:rsidRPr="00BE1863" w:rsidRDefault="002E33E7" w:rsidP="00821F3B">
            <w:pPr>
              <w:jc w:val="center"/>
              <w:rPr>
                <w:color w:val="000000"/>
                <w:sz w:val="22"/>
              </w:rPr>
            </w:pPr>
            <w:r w:rsidRPr="00BE1863">
              <w:rPr>
                <w:color w:val="000000"/>
                <w:sz w:val="22"/>
              </w:rPr>
              <w:t>2016</w:t>
            </w:r>
          </w:p>
        </w:tc>
        <w:tc>
          <w:tcPr>
            <w:tcW w:w="1353" w:type="dxa"/>
            <w:tcBorders>
              <w:top w:val="single" w:sz="4" w:space="0" w:color="auto"/>
              <w:left w:val="nil"/>
              <w:bottom w:val="single" w:sz="4" w:space="0" w:color="auto"/>
              <w:right w:val="single" w:sz="4" w:space="0" w:color="auto"/>
            </w:tcBorders>
            <w:vAlign w:val="center"/>
          </w:tcPr>
          <w:p w14:paraId="5E4EB8C9" w14:textId="6217D962" w:rsidR="002E33E7" w:rsidRPr="00BE1863" w:rsidRDefault="002E33E7" w:rsidP="00821F3B">
            <w:pPr>
              <w:jc w:val="center"/>
              <w:rPr>
                <w:color w:val="000000"/>
                <w:sz w:val="22"/>
              </w:rPr>
            </w:pPr>
            <w:r w:rsidRPr="00BE1863">
              <w:rPr>
                <w:sz w:val="22"/>
              </w:rPr>
              <w:t>5,182</w:t>
            </w:r>
          </w:p>
        </w:tc>
        <w:tc>
          <w:tcPr>
            <w:tcW w:w="1352" w:type="dxa"/>
            <w:tcBorders>
              <w:top w:val="nil"/>
              <w:left w:val="single" w:sz="4" w:space="0" w:color="auto"/>
              <w:bottom w:val="single" w:sz="4" w:space="0" w:color="auto"/>
              <w:right w:val="single" w:sz="4" w:space="0" w:color="auto"/>
            </w:tcBorders>
            <w:shd w:val="clear" w:color="auto" w:fill="auto"/>
            <w:noWrap/>
            <w:vAlign w:val="center"/>
            <w:hideMark/>
          </w:tcPr>
          <w:p w14:paraId="6A99D19E" w14:textId="168D2B3C" w:rsidR="002E33E7" w:rsidRPr="00BE1863" w:rsidRDefault="002E33E7" w:rsidP="00821F3B">
            <w:pPr>
              <w:jc w:val="center"/>
              <w:rPr>
                <w:color w:val="000000"/>
                <w:sz w:val="22"/>
              </w:rPr>
            </w:pPr>
            <w:r w:rsidRPr="00BE1863">
              <w:rPr>
                <w:sz w:val="22"/>
              </w:rPr>
              <w:t>5,900</w:t>
            </w:r>
          </w:p>
        </w:tc>
        <w:tc>
          <w:tcPr>
            <w:tcW w:w="1353" w:type="dxa"/>
            <w:tcBorders>
              <w:top w:val="nil"/>
              <w:left w:val="nil"/>
              <w:bottom w:val="single" w:sz="4" w:space="0" w:color="auto"/>
              <w:right w:val="single" w:sz="4" w:space="0" w:color="auto"/>
            </w:tcBorders>
            <w:shd w:val="clear" w:color="auto" w:fill="auto"/>
            <w:noWrap/>
            <w:vAlign w:val="center"/>
          </w:tcPr>
          <w:p w14:paraId="2A0B894B" w14:textId="65C45E7C" w:rsidR="002E33E7" w:rsidRPr="00BE1863" w:rsidRDefault="0087186B" w:rsidP="00821F3B">
            <w:pPr>
              <w:jc w:val="center"/>
              <w:rPr>
                <w:color w:val="000000"/>
                <w:sz w:val="22"/>
              </w:rPr>
            </w:pPr>
            <w:r w:rsidRPr="00BE1863">
              <w:rPr>
                <w:sz w:val="22"/>
              </w:rPr>
              <w:t>117</w:t>
            </w:r>
          </w:p>
        </w:tc>
        <w:tc>
          <w:tcPr>
            <w:tcW w:w="1352" w:type="dxa"/>
            <w:tcBorders>
              <w:top w:val="nil"/>
              <w:left w:val="nil"/>
              <w:bottom w:val="single" w:sz="4" w:space="0" w:color="auto"/>
              <w:right w:val="single" w:sz="4" w:space="0" w:color="auto"/>
            </w:tcBorders>
            <w:shd w:val="clear" w:color="auto" w:fill="auto"/>
            <w:noWrap/>
            <w:vAlign w:val="center"/>
          </w:tcPr>
          <w:p w14:paraId="179ED57F" w14:textId="13FB9895" w:rsidR="002E33E7" w:rsidRPr="00BE1863" w:rsidRDefault="002E33E7" w:rsidP="00821F3B">
            <w:pPr>
              <w:jc w:val="center"/>
              <w:rPr>
                <w:color w:val="000000"/>
                <w:sz w:val="22"/>
              </w:rPr>
            </w:pPr>
            <w:r w:rsidRPr="00BE1863">
              <w:rPr>
                <w:sz w:val="22"/>
              </w:rPr>
              <w:t>4,200</w:t>
            </w:r>
          </w:p>
        </w:tc>
        <w:tc>
          <w:tcPr>
            <w:tcW w:w="1353" w:type="dxa"/>
            <w:tcBorders>
              <w:top w:val="nil"/>
              <w:left w:val="nil"/>
              <w:bottom w:val="single" w:sz="4" w:space="0" w:color="auto"/>
              <w:right w:val="single" w:sz="4" w:space="0" w:color="auto"/>
            </w:tcBorders>
            <w:shd w:val="clear" w:color="auto" w:fill="auto"/>
            <w:noWrap/>
            <w:vAlign w:val="center"/>
            <w:hideMark/>
          </w:tcPr>
          <w:p w14:paraId="4371150B" w14:textId="055E844F" w:rsidR="002E33E7" w:rsidRPr="00BE1863" w:rsidRDefault="002E33E7" w:rsidP="00821F3B">
            <w:pPr>
              <w:jc w:val="center"/>
              <w:rPr>
                <w:color w:val="000000"/>
                <w:sz w:val="22"/>
              </w:rPr>
            </w:pPr>
            <w:r w:rsidRPr="00BE1863">
              <w:rPr>
                <w:sz w:val="22"/>
              </w:rPr>
              <w:t>3,800</w:t>
            </w:r>
          </w:p>
        </w:tc>
        <w:tc>
          <w:tcPr>
            <w:tcW w:w="1353" w:type="dxa"/>
            <w:tcBorders>
              <w:top w:val="nil"/>
              <w:left w:val="nil"/>
              <w:bottom w:val="single" w:sz="4" w:space="0" w:color="auto"/>
              <w:right w:val="single" w:sz="4" w:space="0" w:color="auto"/>
            </w:tcBorders>
            <w:shd w:val="clear" w:color="auto" w:fill="auto"/>
            <w:noWrap/>
            <w:vAlign w:val="center"/>
            <w:hideMark/>
          </w:tcPr>
          <w:p w14:paraId="644131C4" w14:textId="0F7CF48B" w:rsidR="002E33E7" w:rsidRPr="00BE1863" w:rsidRDefault="002E33E7" w:rsidP="00821F3B">
            <w:pPr>
              <w:jc w:val="center"/>
              <w:rPr>
                <w:color w:val="000000"/>
                <w:sz w:val="22"/>
              </w:rPr>
            </w:pPr>
            <w:r w:rsidRPr="00BE1863">
              <w:rPr>
                <w:sz w:val="22"/>
              </w:rPr>
              <w:t>1,200</w:t>
            </w:r>
          </w:p>
        </w:tc>
      </w:tr>
      <w:tr w:rsidR="002E33E7" w:rsidRPr="0039677D" w14:paraId="451DD952" w14:textId="77777777" w:rsidTr="0068373D">
        <w:trPr>
          <w:trHeight w:val="288"/>
        </w:trPr>
        <w:tc>
          <w:tcPr>
            <w:tcW w:w="1352" w:type="dxa"/>
            <w:tcBorders>
              <w:top w:val="nil"/>
              <w:left w:val="single" w:sz="4" w:space="0" w:color="auto"/>
              <w:bottom w:val="single" w:sz="4" w:space="0" w:color="auto"/>
              <w:right w:val="single" w:sz="4" w:space="0" w:color="auto"/>
            </w:tcBorders>
            <w:shd w:val="clear" w:color="auto" w:fill="auto"/>
            <w:noWrap/>
            <w:vAlign w:val="center"/>
            <w:hideMark/>
          </w:tcPr>
          <w:p w14:paraId="2A08CE30" w14:textId="77777777" w:rsidR="002E33E7" w:rsidRPr="00BE1863" w:rsidRDefault="002E33E7" w:rsidP="00821F3B">
            <w:pPr>
              <w:jc w:val="center"/>
              <w:rPr>
                <w:color w:val="000000"/>
                <w:sz w:val="22"/>
              </w:rPr>
            </w:pPr>
            <w:r w:rsidRPr="00BE1863">
              <w:rPr>
                <w:color w:val="000000"/>
                <w:sz w:val="22"/>
              </w:rPr>
              <w:t>2017</w:t>
            </w:r>
          </w:p>
        </w:tc>
        <w:tc>
          <w:tcPr>
            <w:tcW w:w="1353" w:type="dxa"/>
            <w:tcBorders>
              <w:top w:val="single" w:sz="4" w:space="0" w:color="auto"/>
              <w:left w:val="nil"/>
              <w:bottom w:val="single" w:sz="4" w:space="0" w:color="auto"/>
              <w:right w:val="single" w:sz="4" w:space="0" w:color="auto"/>
            </w:tcBorders>
            <w:vAlign w:val="center"/>
          </w:tcPr>
          <w:p w14:paraId="4D17EFE5" w14:textId="47BE3902" w:rsidR="002E33E7" w:rsidRPr="00BE1863" w:rsidRDefault="002E33E7" w:rsidP="00821F3B">
            <w:pPr>
              <w:jc w:val="center"/>
              <w:rPr>
                <w:color w:val="000000"/>
                <w:sz w:val="22"/>
              </w:rPr>
            </w:pPr>
            <w:r w:rsidRPr="00BE1863">
              <w:rPr>
                <w:sz w:val="22"/>
              </w:rPr>
              <w:t>3,687</w:t>
            </w:r>
          </w:p>
        </w:tc>
        <w:tc>
          <w:tcPr>
            <w:tcW w:w="1352" w:type="dxa"/>
            <w:tcBorders>
              <w:top w:val="nil"/>
              <w:left w:val="single" w:sz="4" w:space="0" w:color="auto"/>
              <w:bottom w:val="single" w:sz="4" w:space="0" w:color="auto"/>
              <w:right w:val="single" w:sz="4" w:space="0" w:color="auto"/>
            </w:tcBorders>
            <w:shd w:val="clear" w:color="auto" w:fill="auto"/>
            <w:noWrap/>
            <w:vAlign w:val="center"/>
            <w:hideMark/>
          </w:tcPr>
          <w:p w14:paraId="2EDADD9B" w14:textId="303EE15B" w:rsidR="002E33E7" w:rsidRPr="00BE1863" w:rsidRDefault="002E33E7" w:rsidP="00821F3B">
            <w:pPr>
              <w:jc w:val="center"/>
              <w:rPr>
                <w:color w:val="000000"/>
                <w:sz w:val="22"/>
              </w:rPr>
            </w:pPr>
            <w:r w:rsidRPr="00BE1863">
              <w:rPr>
                <w:sz w:val="22"/>
              </w:rPr>
              <w:t>4,100</w:t>
            </w:r>
          </w:p>
        </w:tc>
        <w:tc>
          <w:tcPr>
            <w:tcW w:w="1353" w:type="dxa"/>
            <w:tcBorders>
              <w:top w:val="nil"/>
              <w:left w:val="nil"/>
              <w:bottom w:val="single" w:sz="4" w:space="0" w:color="auto"/>
              <w:right w:val="single" w:sz="4" w:space="0" w:color="auto"/>
            </w:tcBorders>
            <w:shd w:val="clear" w:color="auto" w:fill="auto"/>
            <w:noWrap/>
            <w:vAlign w:val="center"/>
          </w:tcPr>
          <w:p w14:paraId="1D7458CE" w14:textId="503D92D1" w:rsidR="002E33E7" w:rsidRPr="00BE1863" w:rsidRDefault="0087186B" w:rsidP="00821F3B">
            <w:pPr>
              <w:jc w:val="center"/>
              <w:rPr>
                <w:color w:val="000000"/>
                <w:sz w:val="22"/>
              </w:rPr>
            </w:pPr>
            <w:r w:rsidRPr="00BE1863">
              <w:rPr>
                <w:sz w:val="22"/>
              </w:rPr>
              <w:t>152</w:t>
            </w:r>
          </w:p>
        </w:tc>
        <w:tc>
          <w:tcPr>
            <w:tcW w:w="1352" w:type="dxa"/>
            <w:tcBorders>
              <w:top w:val="nil"/>
              <w:left w:val="nil"/>
              <w:bottom w:val="single" w:sz="4" w:space="0" w:color="auto"/>
              <w:right w:val="single" w:sz="4" w:space="0" w:color="auto"/>
            </w:tcBorders>
            <w:shd w:val="clear" w:color="auto" w:fill="auto"/>
            <w:noWrap/>
            <w:vAlign w:val="center"/>
          </w:tcPr>
          <w:p w14:paraId="137F93FB" w14:textId="1D9A1E50" w:rsidR="002E33E7" w:rsidRPr="00BE1863" w:rsidRDefault="002E33E7" w:rsidP="00821F3B">
            <w:pPr>
              <w:jc w:val="center"/>
              <w:rPr>
                <w:color w:val="000000"/>
                <w:sz w:val="22"/>
              </w:rPr>
            </w:pPr>
            <w:r w:rsidRPr="00BE1863">
              <w:rPr>
                <w:sz w:val="22"/>
              </w:rPr>
              <w:t>4,300</w:t>
            </w:r>
          </w:p>
        </w:tc>
        <w:tc>
          <w:tcPr>
            <w:tcW w:w="1353" w:type="dxa"/>
            <w:tcBorders>
              <w:top w:val="nil"/>
              <w:left w:val="nil"/>
              <w:bottom w:val="single" w:sz="4" w:space="0" w:color="auto"/>
              <w:right w:val="single" w:sz="4" w:space="0" w:color="auto"/>
            </w:tcBorders>
            <w:shd w:val="clear" w:color="auto" w:fill="auto"/>
            <w:noWrap/>
            <w:vAlign w:val="center"/>
            <w:hideMark/>
          </w:tcPr>
          <w:p w14:paraId="205CC00E" w14:textId="04C0050D" w:rsidR="002E33E7" w:rsidRPr="00BE1863" w:rsidRDefault="002E33E7" w:rsidP="00821F3B">
            <w:pPr>
              <w:jc w:val="center"/>
              <w:rPr>
                <w:color w:val="000000"/>
                <w:sz w:val="22"/>
              </w:rPr>
            </w:pPr>
            <w:r w:rsidRPr="00BE1863">
              <w:rPr>
                <w:sz w:val="22"/>
              </w:rPr>
              <w:t>3,500</w:t>
            </w:r>
          </w:p>
        </w:tc>
        <w:tc>
          <w:tcPr>
            <w:tcW w:w="1353" w:type="dxa"/>
            <w:tcBorders>
              <w:top w:val="nil"/>
              <w:left w:val="nil"/>
              <w:bottom w:val="single" w:sz="4" w:space="0" w:color="auto"/>
              <w:right w:val="single" w:sz="4" w:space="0" w:color="auto"/>
            </w:tcBorders>
            <w:shd w:val="clear" w:color="auto" w:fill="auto"/>
            <w:noWrap/>
            <w:vAlign w:val="center"/>
            <w:hideMark/>
          </w:tcPr>
          <w:p w14:paraId="21409196" w14:textId="558570F1" w:rsidR="002E33E7" w:rsidRPr="00BE1863" w:rsidRDefault="002E33E7" w:rsidP="00821F3B">
            <w:pPr>
              <w:jc w:val="center"/>
              <w:rPr>
                <w:color w:val="000000"/>
                <w:sz w:val="22"/>
              </w:rPr>
            </w:pPr>
            <w:r w:rsidRPr="00BE1863">
              <w:rPr>
                <w:sz w:val="22"/>
              </w:rPr>
              <w:t>1,800</w:t>
            </w:r>
          </w:p>
        </w:tc>
      </w:tr>
      <w:tr w:rsidR="002E33E7" w:rsidRPr="0039677D" w14:paraId="60238030" w14:textId="77777777" w:rsidTr="0068373D">
        <w:trPr>
          <w:trHeight w:val="288"/>
        </w:trPr>
        <w:tc>
          <w:tcPr>
            <w:tcW w:w="1352" w:type="dxa"/>
            <w:tcBorders>
              <w:top w:val="nil"/>
              <w:left w:val="single" w:sz="4" w:space="0" w:color="auto"/>
              <w:bottom w:val="single" w:sz="4" w:space="0" w:color="auto"/>
              <w:right w:val="single" w:sz="4" w:space="0" w:color="auto"/>
            </w:tcBorders>
            <w:shd w:val="clear" w:color="auto" w:fill="auto"/>
            <w:noWrap/>
            <w:vAlign w:val="center"/>
          </w:tcPr>
          <w:p w14:paraId="44E6130F" w14:textId="50A8790A" w:rsidR="002E33E7" w:rsidRPr="00BE1863" w:rsidRDefault="002E33E7" w:rsidP="00821F3B">
            <w:pPr>
              <w:jc w:val="center"/>
              <w:rPr>
                <w:bCs/>
                <w:color w:val="000000"/>
                <w:sz w:val="22"/>
              </w:rPr>
            </w:pPr>
            <w:r w:rsidRPr="00BE1863">
              <w:rPr>
                <w:bCs/>
                <w:color w:val="000000"/>
                <w:sz w:val="22"/>
              </w:rPr>
              <w:t>2018</w:t>
            </w:r>
          </w:p>
        </w:tc>
        <w:tc>
          <w:tcPr>
            <w:tcW w:w="1353" w:type="dxa"/>
            <w:tcBorders>
              <w:top w:val="single" w:sz="4" w:space="0" w:color="auto"/>
              <w:left w:val="nil"/>
              <w:bottom w:val="single" w:sz="4" w:space="0" w:color="auto"/>
              <w:right w:val="single" w:sz="4" w:space="0" w:color="auto"/>
            </w:tcBorders>
            <w:vAlign w:val="center"/>
          </w:tcPr>
          <w:p w14:paraId="7F6BAF1A" w14:textId="78B70800" w:rsidR="002E33E7" w:rsidRPr="00BE1863" w:rsidRDefault="002E33E7" w:rsidP="00821F3B">
            <w:pPr>
              <w:jc w:val="center"/>
              <w:rPr>
                <w:bCs/>
                <w:color w:val="000000"/>
                <w:sz w:val="22"/>
              </w:rPr>
            </w:pPr>
            <w:r w:rsidRPr="00BE1863">
              <w:rPr>
                <w:sz w:val="22"/>
              </w:rPr>
              <w:t>3,258</w:t>
            </w:r>
          </w:p>
        </w:tc>
        <w:tc>
          <w:tcPr>
            <w:tcW w:w="1352" w:type="dxa"/>
            <w:tcBorders>
              <w:top w:val="nil"/>
              <w:left w:val="single" w:sz="4" w:space="0" w:color="auto"/>
              <w:bottom w:val="single" w:sz="4" w:space="0" w:color="auto"/>
              <w:right w:val="single" w:sz="4" w:space="0" w:color="auto"/>
            </w:tcBorders>
            <w:shd w:val="clear" w:color="auto" w:fill="auto"/>
            <w:noWrap/>
            <w:vAlign w:val="center"/>
          </w:tcPr>
          <w:p w14:paraId="4975FC8B" w14:textId="7CFDD3AF" w:rsidR="002E33E7" w:rsidRPr="00BE1863" w:rsidRDefault="009E4DC4" w:rsidP="00821F3B">
            <w:pPr>
              <w:jc w:val="center"/>
              <w:rPr>
                <w:bCs/>
                <w:color w:val="000000"/>
                <w:sz w:val="22"/>
                <w:highlight w:val="yellow"/>
              </w:rPr>
            </w:pPr>
            <w:r>
              <w:rPr>
                <w:sz w:val="22"/>
                <w:highlight w:val="yellow"/>
              </w:rPr>
              <w:t>TBD</w:t>
            </w:r>
          </w:p>
        </w:tc>
        <w:tc>
          <w:tcPr>
            <w:tcW w:w="1353" w:type="dxa"/>
            <w:tcBorders>
              <w:top w:val="nil"/>
              <w:left w:val="nil"/>
              <w:bottom w:val="single" w:sz="4" w:space="0" w:color="auto"/>
              <w:right w:val="single" w:sz="4" w:space="0" w:color="auto"/>
            </w:tcBorders>
            <w:shd w:val="clear" w:color="auto" w:fill="auto"/>
            <w:noWrap/>
            <w:vAlign w:val="center"/>
          </w:tcPr>
          <w:p w14:paraId="4E662F05" w14:textId="0783172F" w:rsidR="002E33E7" w:rsidRPr="00BE1863" w:rsidRDefault="0087186B" w:rsidP="00821F3B">
            <w:pPr>
              <w:jc w:val="center"/>
              <w:rPr>
                <w:bCs/>
                <w:color w:val="000000"/>
                <w:sz w:val="22"/>
                <w:highlight w:val="yellow"/>
              </w:rPr>
            </w:pPr>
            <w:r w:rsidRPr="00BE1863">
              <w:rPr>
                <w:sz w:val="22"/>
              </w:rPr>
              <w:t>59</w:t>
            </w:r>
          </w:p>
        </w:tc>
        <w:tc>
          <w:tcPr>
            <w:tcW w:w="1352" w:type="dxa"/>
            <w:tcBorders>
              <w:top w:val="nil"/>
              <w:left w:val="nil"/>
              <w:bottom w:val="single" w:sz="4" w:space="0" w:color="auto"/>
              <w:right w:val="single" w:sz="4" w:space="0" w:color="auto"/>
            </w:tcBorders>
            <w:shd w:val="clear" w:color="auto" w:fill="auto"/>
            <w:noWrap/>
            <w:vAlign w:val="center"/>
          </w:tcPr>
          <w:p w14:paraId="4126BA71" w14:textId="5A789B10" w:rsidR="002E33E7" w:rsidRPr="00BE1863" w:rsidRDefault="009E4DC4" w:rsidP="00821F3B">
            <w:pPr>
              <w:jc w:val="center"/>
              <w:rPr>
                <w:bCs/>
                <w:color w:val="000000"/>
                <w:sz w:val="22"/>
                <w:highlight w:val="yellow"/>
              </w:rPr>
            </w:pPr>
            <w:r>
              <w:rPr>
                <w:sz w:val="22"/>
                <w:highlight w:val="yellow"/>
              </w:rPr>
              <w:t>TBD</w:t>
            </w:r>
          </w:p>
        </w:tc>
        <w:tc>
          <w:tcPr>
            <w:tcW w:w="1353" w:type="dxa"/>
            <w:tcBorders>
              <w:top w:val="nil"/>
              <w:left w:val="nil"/>
              <w:bottom w:val="single" w:sz="4" w:space="0" w:color="auto"/>
              <w:right w:val="single" w:sz="4" w:space="0" w:color="auto"/>
            </w:tcBorders>
            <w:shd w:val="clear" w:color="auto" w:fill="auto"/>
            <w:noWrap/>
            <w:vAlign w:val="center"/>
          </w:tcPr>
          <w:p w14:paraId="05CB62E9" w14:textId="3D3FDA44" w:rsidR="002E33E7" w:rsidRPr="00BE1863" w:rsidRDefault="009E4DC4" w:rsidP="00821F3B">
            <w:pPr>
              <w:jc w:val="center"/>
              <w:rPr>
                <w:bCs/>
                <w:color w:val="000000"/>
                <w:sz w:val="22"/>
                <w:highlight w:val="yellow"/>
              </w:rPr>
            </w:pPr>
            <w:r>
              <w:rPr>
                <w:sz w:val="22"/>
                <w:highlight w:val="yellow"/>
              </w:rPr>
              <w:t>TBD</w:t>
            </w:r>
          </w:p>
        </w:tc>
        <w:tc>
          <w:tcPr>
            <w:tcW w:w="1353" w:type="dxa"/>
            <w:tcBorders>
              <w:top w:val="nil"/>
              <w:left w:val="nil"/>
              <w:bottom w:val="single" w:sz="4" w:space="0" w:color="auto"/>
              <w:right w:val="single" w:sz="4" w:space="0" w:color="auto"/>
            </w:tcBorders>
            <w:shd w:val="clear" w:color="auto" w:fill="auto"/>
            <w:noWrap/>
            <w:vAlign w:val="center"/>
          </w:tcPr>
          <w:p w14:paraId="669E40A9" w14:textId="2BD8C4C0" w:rsidR="002E33E7" w:rsidRPr="00BE1863" w:rsidRDefault="009E4DC4" w:rsidP="00821F3B">
            <w:pPr>
              <w:jc w:val="center"/>
              <w:rPr>
                <w:bCs/>
                <w:color w:val="000000"/>
                <w:sz w:val="22"/>
                <w:highlight w:val="yellow"/>
              </w:rPr>
            </w:pPr>
            <w:r>
              <w:rPr>
                <w:sz w:val="22"/>
                <w:highlight w:val="yellow"/>
              </w:rPr>
              <w:t>TBD</w:t>
            </w:r>
          </w:p>
        </w:tc>
      </w:tr>
      <w:tr w:rsidR="002E33E7" w:rsidRPr="0039677D" w14:paraId="7C9CCF70" w14:textId="77777777" w:rsidTr="0068373D">
        <w:trPr>
          <w:trHeight w:val="288"/>
        </w:trPr>
        <w:tc>
          <w:tcPr>
            <w:tcW w:w="1352"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14:paraId="2526F09D" w14:textId="71710C14" w:rsidR="002E33E7" w:rsidRPr="00BE1863" w:rsidRDefault="00BE1863" w:rsidP="00821F3B">
            <w:pPr>
              <w:jc w:val="center"/>
              <w:rPr>
                <w:b/>
                <w:bCs/>
                <w:color w:val="000000"/>
                <w:sz w:val="22"/>
              </w:rPr>
            </w:pPr>
            <w:r>
              <w:rPr>
                <w:b/>
                <w:bCs/>
                <w:color w:val="000000"/>
                <w:sz w:val="22"/>
              </w:rPr>
              <w:t>Total</w:t>
            </w:r>
          </w:p>
        </w:tc>
        <w:tc>
          <w:tcPr>
            <w:tcW w:w="1353"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0D937AD0" w14:textId="77760CFB" w:rsidR="002E33E7" w:rsidRPr="00BE1863" w:rsidRDefault="002E33E7" w:rsidP="00821F3B">
            <w:pPr>
              <w:jc w:val="center"/>
              <w:rPr>
                <w:b/>
                <w:bCs/>
                <w:color w:val="000000"/>
                <w:sz w:val="22"/>
              </w:rPr>
            </w:pPr>
            <w:r w:rsidRPr="00BE1863">
              <w:rPr>
                <w:b/>
                <w:sz w:val="22"/>
              </w:rPr>
              <w:t>25,700</w:t>
            </w:r>
          </w:p>
        </w:tc>
        <w:tc>
          <w:tcPr>
            <w:tcW w:w="1352"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14:paraId="61E977FF" w14:textId="630B02BB" w:rsidR="002E33E7" w:rsidRPr="00BE1863" w:rsidRDefault="002E33E7" w:rsidP="00821F3B">
            <w:pPr>
              <w:jc w:val="center"/>
              <w:rPr>
                <w:b/>
                <w:bCs/>
                <w:color w:val="000000"/>
                <w:sz w:val="22"/>
              </w:rPr>
            </w:pPr>
            <w:r w:rsidRPr="00BE1863">
              <w:rPr>
                <w:b/>
                <w:sz w:val="22"/>
              </w:rPr>
              <w:t>27,900</w:t>
            </w:r>
          </w:p>
        </w:tc>
        <w:tc>
          <w:tcPr>
            <w:tcW w:w="1353" w:type="dxa"/>
            <w:tcBorders>
              <w:top w:val="nil"/>
              <w:left w:val="nil"/>
              <w:bottom w:val="single" w:sz="4" w:space="0" w:color="auto"/>
              <w:right w:val="single" w:sz="4" w:space="0" w:color="auto"/>
            </w:tcBorders>
            <w:shd w:val="clear" w:color="auto" w:fill="BFBFBF" w:themeFill="background1" w:themeFillShade="BF"/>
            <w:noWrap/>
            <w:vAlign w:val="center"/>
            <w:hideMark/>
          </w:tcPr>
          <w:p w14:paraId="54AD5DFB" w14:textId="708EC0CF" w:rsidR="002E33E7" w:rsidRPr="00BE1863" w:rsidRDefault="002E33E7" w:rsidP="00821F3B">
            <w:pPr>
              <w:jc w:val="center"/>
              <w:rPr>
                <w:b/>
                <w:bCs/>
                <w:color w:val="000000"/>
                <w:sz w:val="22"/>
              </w:rPr>
            </w:pPr>
            <w:r w:rsidRPr="00BE1863">
              <w:rPr>
                <w:b/>
                <w:sz w:val="22"/>
              </w:rPr>
              <w:t>330</w:t>
            </w:r>
          </w:p>
        </w:tc>
        <w:tc>
          <w:tcPr>
            <w:tcW w:w="1352" w:type="dxa"/>
            <w:tcBorders>
              <w:top w:val="nil"/>
              <w:left w:val="nil"/>
              <w:bottom w:val="single" w:sz="4" w:space="0" w:color="auto"/>
              <w:right w:val="single" w:sz="4" w:space="0" w:color="auto"/>
            </w:tcBorders>
            <w:shd w:val="clear" w:color="auto" w:fill="BFBFBF" w:themeFill="background1" w:themeFillShade="BF"/>
            <w:noWrap/>
            <w:vAlign w:val="center"/>
          </w:tcPr>
          <w:p w14:paraId="19FB590D" w14:textId="048D8AB0" w:rsidR="002E33E7" w:rsidRPr="00BE1863" w:rsidRDefault="002E33E7" w:rsidP="00821F3B">
            <w:pPr>
              <w:jc w:val="center"/>
              <w:rPr>
                <w:b/>
                <w:bCs/>
                <w:color w:val="000000"/>
                <w:sz w:val="22"/>
              </w:rPr>
            </w:pPr>
            <w:r w:rsidRPr="00BE1863">
              <w:rPr>
                <w:b/>
                <w:sz w:val="22"/>
              </w:rPr>
              <w:t>21,800</w:t>
            </w:r>
          </w:p>
        </w:tc>
        <w:tc>
          <w:tcPr>
            <w:tcW w:w="1353" w:type="dxa"/>
            <w:tcBorders>
              <w:top w:val="nil"/>
              <w:left w:val="nil"/>
              <w:bottom w:val="single" w:sz="4" w:space="0" w:color="auto"/>
              <w:right w:val="single" w:sz="4" w:space="0" w:color="auto"/>
            </w:tcBorders>
            <w:shd w:val="clear" w:color="auto" w:fill="BFBFBF" w:themeFill="background1" w:themeFillShade="BF"/>
            <w:noWrap/>
            <w:vAlign w:val="center"/>
            <w:hideMark/>
          </w:tcPr>
          <w:p w14:paraId="5A940CA8" w14:textId="4B272C12" w:rsidR="002E33E7" w:rsidRPr="00BE1863" w:rsidRDefault="002E33E7" w:rsidP="00821F3B">
            <w:pPr>
              <w:jc w:val="center"/>
              <w:rPr>
                <w:b/>
                <w:bCs/>
                <w:color w:val="000000"/>
                <w:sz w:val="22"/>
              </w:rPr>
            </w:pPr>
            <w:r w:rsidRPr="00BE1863">
              <w:rPr>
                <w:b/>
                <w:sz w:val="22"/>
              </w:rPr>
              <w:t>18,400</w:t>
            </w:r>
          </w:p>
        </w:tc>
        <w:tc>
          <w:tcPr>
            <w:tcW w:w="1353" w:type="dxa"/>
            <w:tcBorders>
              <w:top w:val="nil"/>
              <w:left w:val="nil"/>
              <w:bottom w:val="single" w:sz="4" w:space="0" w:color="auto"/>
              <w:right w:val="single" w:sz="4" w:space="0" w:color="auto"/>
            </w:tcBorders>
            <w:shd w:val="clear" w:color="auto" w:fill="BFBFBF" w:themeFill="background1" w:themeFillShade="BF"/>
            <w:noWrap/>
            <w:vAlign w:val="center"/>
            <w:hideMark/>
          </w:tcPr>
          <w:p w14:paraId="7CB66710" w14:textId="7FC9A2C7" w:rsidR="002E33E7" w:rsidRPr="00BE1863" w:rsidRDefault="002E33E7" w:rsidP="00821F3B">
            <w:pPr>
              <w:jc w:val="center"/>
              <w:rPr>
                <w:b/>
                <w:bCs/>
                <w:color w:val="000000"/>
                <w:sz w:val="22"/>
              </w:rPr>
            </w:pPr>
            <w:r w:rsidRPr="00BE1863">
              <w:rPr>
                <w:b/>
                <w:sz w:val="22"/>
              </w:rPr>
              <w:t>9,600</w:t>
            </w:r>
          </w:p>
        </w:tc>
      </w:tr>
      <w:tr w:rsidR="002E33E7" w:rsidRPr="0039677D" w14:paraId="3A2CC2F8" w14:textId="77777777" w:rsidTr="0068373D">
        <w:trPr>
          <w:trHeight w:val="288"/>
        </w:trPr>
        <w:tc>
          <w:tcPr>
            <w:tcW w:w="1352"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14:paraId="26CEFAFE" w14:textId="261A8D9A" w:rsidR="002E33E7" w:rsidRPr="00BE1863" w:rsidRDefault="002E33E7" w:rsidP="00821F3B">
            <w:pPr>
              <w:jc w:val="center"/>
              <w:rPr>
                <w:b/>
                <w:bCs/>
                <w:color w:val="000000"/>
                <w:sz w:val="22"/>
              </w:rPr>
            </w:pPr>
            <w:r w:rsidRPr="00BE1863">
              <w:rPr>
                <w:b/>
                <w:bCs/>
                <w:color w:val="000000"/>
                <w:sz w:val="22"/>
              </w:rPr>
              <w:t>A</w:t>
            </w:r>
            <w:r w:rsidR="00BE1863">
              <w:rPr>
                <w:b/>
                <w:bCs/>
                <w:color w:val="000000"/>
                <w:sz w:val="22"/>
              </w:rPr>
              <w:t>verage</w:t>
            </w:r>
          </w:p>
        </w:tc>
        <w:tc>
          <w:tcPr>
            <w:tcW w:w="1353"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0E28B078" w14:textId="7576A7EC" w:rsidR="002E33E7" w:rsidRPr="00BE1863" w:rsidRDefault="002E33E7" w:rsidP="00821F3B">
            <w:pPr>
              <w:jc w:val="center"/>
              <w:rPr>
                <w:b/>
                <w:bCs/>
                <w:color w:val="000000"/>
                <w:sz w:val="22"/>
              </w:rPr>
            </w:pPr>
            <w:r w:rsidRPr="00BE1863">
              <w:rPr>
                <w:b/>
                <w:sz w:val="22"/>
              </w:rPr>
              <w:t>3,200</w:t>
            </w:r>
          </w:p>
        </w:tc>
        <w:tc>
          <w:tcPr>
            <w:tcW w:w="1352"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14:paraId="6D7FAD20" w14:textId="145B4414" w:rsidR="002E33E7" w:rsidRPr="00BE1863" w:rsidRDefault="002E33E7" w:rsidP="00821F3B">
            <w:pPr>
              <w:jc w:val="center"/>
              <w:rPr>
                <w:b/>
                <w:bCs/>
                <w:color w:val="000000"/>
                <w:sz w:val="22"/>
              </w:rPr>
            </w:pPr>
            <w:r w:rsidRPr="00BE1863">
              <w:rPr>
                <w:b/>
                <w:sz w:val="22"/>
              </w:rPr>
              <w:t>3,500</w:t>
            </w:r>
          </w:p>
        </w:tc>
        <w:tc>
          <w:tcPr>
            <w:tcW w:w="1353" w:type="dxa"/>
            <w:tcBorders>
              <w:top w:val="nil"/>
              <w:left w:val="nil"/>
              <w:bottom w:val="single" w:sz="4" w:space="0" w:color="auto"/>
              <w:right w:val="single" w:sz="4" w:space="0" w:color="auto"/>
            </w:tcBorders>
            <w:shd w:val="clear" w:color="auto" w:fill="BFBFBF" w:themeFill="background1" w:themeFillShade="BF"/>
            <w:noWrap/>
            <w:vAlign w:val="center"/>
            <w:hideMark/>
          </w:tcPr>
          <w:p w14:paraId="56219012" w14:textId="5D89F42B" w:rsidR="002E33E7" w:rsidRPr="00BE1863" w:rsidRDefault="002E33E7" w:rsidP="00821F3B">
            <w:pPr>
              <w:jc w:val="center"/>
              <w:rPr>
                <w:b/>
                <w:bCs/>
                <w:color w:val="000000"/>
                <w:sz w:val="22"/>
              </w:rPr>
            </w:pPr>
            <w:r w:rsidRPr="00BE1863">
              <w:rPr>
                <w:b/>
                <w:sz w:val="22"/>
              </w:rPr>
              <w:t>110</w:t>
            </w:r>
          </w:p>
        </w:tc>
        <w:tc>
          <w:tcPr>
            <w:tcW w:w="1352" w:type="dxa"/>
            <w:tcBorders>
              <w:top w:val="nil"/>
              <w:left w:val="nil"/>
              <w:bottom w:val="single" w:sz="4" w:space="0" w:color="auto"/>
              <w:right w:val="single" w:sz="4" w:space="0" w:color="auto"/>
            </w:tcBorders>
            <w:shd w:val="clear" w:color="auto" w:fill="BFBFBF" w:themeFill="background1" w:themeFillShade="BF"/>
            <w:noWrap/>
            <w:vAlign w:val="center"/>
          </w:tcPr>
          <w:p w14:paraId="60A0EEA9" w14:textId="2607A469" w:rsidR="002E33E7" w:rsidRPr="00BE1863" w:rsidRDefault="002E33E7" w:rsidP="00821F3B">
            <w:pPr>
              <w:jc w:val="center"/>
              <w:rPr>
                <w:b/>
                <w:bCs/>
                <w:color w:val="000000"/>
                <w:sz w:val="22"/>
              </w:rPr>
            </w:pPr>
            <w:r w:rsidRPr="00BE1863">
              <w:rPr>
                <w:b/>
                <w:sz w:val="22"/>
              </w:rPr>
              <w:t>2,700</w:t>
            </w:r>
          </w:p>
        </w:tc>
        <w:tc>
          <w:tcPr>
            <w:tcW w:w="1353" w:type="dxa"/>
            <w:tcBorders>
              <w:top w:val="nil"/>
              <w:left w:val="nil"/>
              <w:bottom w:val="single" w:sz="4" w:space="0" w:color="auto"/>
              <w:right w:val="single" w:sz="4" w:space="0" w:color="auto"/>
            </w:tcBorders>
            <w:shd w:val="clear" w:color="auto" w:fill="BFBFBF" w:themeFill="background1" w:themeFillShade="BF"/>
            <w:noWrap/>
            <w:vAlign w:val="center"/>
            <w:hideMark/>
          </w:tcPr>
          <w:p w14:paraId="18F0A75B" w14:textId="0B70C0A2" w:rsidR="002E33E7" w:rsidRPr="00BE1863" w:rsidRDefault="002E33E7" w:rsidP="00821F3B">
            <w:pPr>
              <w:jc w:val="center"/>
              <w:rPr>
                <w:b/>
                <w:bCs/>
                <w:color w:val="000000"/>
                <w:sz w:val="22"/>
              </w:rPr>
            </w:pPr>
            <w:r w:rsidRPr="00BE1863">
              <w:rPr>
                <w:b/>
                <w:sz w:val="22"/>
              </w:rPr>
              <w:t>2,300</w:t>
            </w:r>
          </w:p>
        </w:tc>
        <w:tc>
          <w:tcPr>
            <w:tcW w:w="1353" w:type="dxa"/>
            <w:tcBorders>
              <w:top w:val="nil"/>
              <w:left w:val="nil"/>
              <w:bottom w:val="single" w:sz="4" w:space="0" w:color="auto"/>
              <w:right w:val="single" w:sz="4" w:space="0" w:color="auto"/>
            </w:tcBorders>
            <w:shd w:val="clear" w:color="auto" w:fill="BFBFBF" w:themeFill="background1" w:themeFillShade="BF"/>
            <w:noWrap/>
            <w:vAlign w:val="center"/>
            <w:hideMark/>
          </w:tcPr>
          <w:p w14:paraId="63511F5B" w14:textId="6D4CE14C" w:rsidR="002E33E7" w:rsidRPr="00BE1863" w:rsidRDefault="002E33E7" w:rsidP="00821F3B">
            <w:pPr>
              <w:jc w:val="center"/>
              <w:rPr>
                <w:b/>
                <w:bCs/>
                <w:color w:val="000000"/>
                <w:sz w:val="22"/>
              </w:rPr>
            </w:pPr>
            <w:r w:rsidRPr="00BE1863">
              <w:rPr>
                <w:b/>
                <w:sz w:val="22"/>
              </w:rPr>
              <w:t>1,200</w:t>
            </w:r>
          </w:p>
        </w:tc>
      </w:tr>
    </w:tbl>
    <w:p w14:paraId="012765FC" w14:textId="30156B95" w:rsidR="00821F3B" w:rsidRPr="0037038C" w:rsidRDefault="00742DF4" w:rsidP="00742DF4">
      <w:pPr>
        <w:rPr>
          <w:sz w:val="20"/>
          <w:szCs w:val="20"/>
        </w:rPr>
      </w:pPr>
      <w:r w:rsidRPr="0037038C">
        <w:rPr>
          <w:sz w:val="20"/>
          <w:szCs w:val="20"/>
          <w:vertAlign w:val="superscript"/>
        </w:rPr>
        <w:t>1</w:t>
      </w:r>
      <w:r w:rsidRPr="0037038C">
        <w:rPr>
          <w:sz w:val="20"/>
          <w:szCs w:val="20"/>
        </w:rPr>
        <w:t xml:space="preserve"> </w:t>
      </w:r>
      <w:r w:rsidR="00821F3B" w:rsidRPr="0037038C">
        <w:rPr>
          <w:sz w:val="20"/>
          <w:szCs w:val="20"/>
        </w:rPr>
        <w:t>Annual values for Invoiced Diversions</w:t>
      </w:r>
      <w:r w:rsidR="00BC3F55" w:rsidRPr="0037038C">
        <w:rPr>
          <w:sz w:val="20"/>
          <w:szCs w:val="20"/>
        </w:rPr>
        <w:t xml:space="preserve"> are exact</w:t>
      </w:r>
      <w:r w:rsidR="00821F3B" w:rsidRPr="0037038C">
        <w:rPr>
          <w:sz w:val="20"/>
          <w:szCs w:val="20"/>
        </w:rPr>
        <w:t xml:space="preserve">, </w:t>
      </w:r>
      <w:r w:rsidR="00BC3F55" w:rsidRPr="0037038C">
        <w:rPr>
          <w:sz w:val="20"/>
          <w:szCs w:val="20"/>
        </w:rPr>
        <w:t>most</w:t>
      </w:r>
      <w:r w:rsidR="00821F3B" w:rsidRPr="0037038C">
        <w:rPr>
          <w:sz w:val="20"/>
          <w:szCs w:val="20"/>
        </w:rPr>
        <w:t xml:space="preserve"> other values are</w:t>
      </w:r>
      <w:r w:rsidR="00716253" w:rsidRPr="0037038C">
        <w:rPr>
          <w:sz w:val="20"/>
          <w:szCs w:val="20"/>
        </w:rPr>
        <w:t xml:space="preserve"> calculated estimates</w:t>
      </w:r>
      <w:r w:rsidR="00821F3B" w:rsidRPr="0037038C">
        <w:rPr>
          <w:sz w:val="20"/>
          <w:szCs w:val="20"/>
        </w:rPr>
        <w:t xml:space="preserve"> rounded</w:t>
      </w:r>
      <w:r w:rsidR="00997F7C" w:rsidRPr="0037038C">
        <w:rPr>
          <w:sz w:val="20"/>
          <w:szCs w:val="20"/>
        </w:rPr>
        <w:t xml:space="preserve"> to the nearest 100</w:t>
      </w:r>
      <w:r w:rsidR="00821F3B" w:rsidRPr="0037038C">
        <w:rPr>
          <w:sz w:val="20"/>
          <w:szCs w:val="20"/>
        </w:rPr>
        <w:t>.</w:t>
      </w:r>
    </w:p>
    <w:p w14:paraId="624086EC" w14:textId="1C27B1DD" w:rsidR="00742DF4" w:rsidRPr="0037038C" w:rsidRDefault="00821F3B" w:rsidP="00742DF4">
      <w:pPr>
        <w:rPr>
          <w:sz w:val="20"/>
          <w:szCs w:val="20"/>
        </w:rPr>
      </w:pPr>
      <w:r w:rsidRPr="0037038C">
        <w:rPr>
          <w:sz w:val="20"/>
          <w:szCs w:val="20"/>
          <w:vertAlign w:val="superscript"/>
        </w:rPr>
        <w:t>2</w:t>
      </w:r>
      <w:r w:rsidRPr="0037038C">
        <w:rPr>
          <w:sz w:val="20"/>
          <w:szCs w:val="20"/>
        </w:rPr>
        <w:t xml:space="preserve"> </w:t>
      </w:r>
      <w:r w:rsidR="00742DF4" w:rsidRPr="0037038C">
        <w:rPr>
          <w:sz w:val="20"/>
          <w:szCs w:val="20"/>
        </w:rPr>
        <w:t xml:space="preserve">Estimated </w:t>
      </w:r>
      <w:r w:rsidR="00CA5D2C" w:rsidRPr="0037038C">
        <w:rPr>
          <w:sz w:val="20"/>
          <w:szCs w:val="20"/>
        </w:rPr>
        <w:t>amounts</w:t>
      </w:r>
      <w:r w:rsidR="00742DF4" w:rsidRPr="0037038C">
        <w:rPr>
          <w:sz w:val="20"/>
          <w:szCs w:val="20"/>
        </w:rPr>
        <w:t xml:space="preserve"> recharged into the aquifer</w:t>
      </w:r>
      <w:r w:rsidR="007B6AB9" w:rsidRPr="0037038C">
        <w:rPr>
          <w:sz w:val="20"/>
          <w:szCs w:val="20"/>
        </w:rPr>
        <w:t xml:space="preserve">, including </w:t>
      </w:r>
      <w:r w:rsidR="009A7BB3" w:rsidRPr="0037038C">
        <w:rPr>
          <w:sz w:val="20"/>
          <w:szCs w:val="20"/>
        </w:rPr>
        <w:t xml:space="preserve">additional </w:t>
      </w:r>
      <w:r w:rsidR="0015094E" w:rsidRPr="0037038C">
        <w:rPr>
          <w:sz w:val="20"/>
          <w:szCs w:val="20"/>
        </w:rPr>
        <w:t xml:space="preserve">calculated </w:t>
      </w:r>
      <w:r w:rsidR="007B6AB9" w:rsidRPr="0037038C">
        <w:rPr>
          <w:sz w:val="20"/>
          <w:szCs w:val="20"/>
        </w:rPr>
        <w:t>seepage between the canal headgate and the MP 1.6 flume.</w:t>
      </w:r>
    </w:p>
    <w:p w14:paraId="6084FBFA" w14:textId="71A7365E" w:rsidR="00742DF4" w:rsidRPr="0037038C" w:rsidRDefault="00821F3B" w:rsidP="00742DF4">
      <w:pPr>
        <w:rPr>
          <w:sz w:val="20"/>
          <w:szCs w:val="20"/>
        </w:rPr>
      </w:pPr>
      <w:r w:rsidRPr="0037038C">
        <w:rPr>
          <w:sz w:val="20"/>
          <w:szCs w:val="20"/>
          <w:vertAlign w:val="superscript"/>
        </w:rPr>
        <w:t>3</w:t>
      </w:r>
      <w:r w:rsidR="00742DF4" w:rsidRPr="0037038C">
        <w:rPr>
          <w:sz w:val="20"/>
          <w:szCs w:val="20"/>
        </w:rPr>
        <w:t xml:space="preserve"> </w:t>
      </w:r>
      <w:r w:rsidR="007B6AB9" w:rsidRPr="0037038C">
        <w:rPr>
          <w:sz w:val="20"/>
          <w:szCs w:val="20"/>
        </w:rPr>
        <w:t xml:space="preserve">Cook Well </w:t>
      </w:r>
      <w:r w:rsidR="00BC3F55" w:rsidRPr="0037038C">
        <w:rPr>
          <w:sz w:val="20"/>
          <w:szCs w:val="20"/>
        </w:rPr>
        <w:t>P</w:t>
      </w:r>
      <w:r w:rsidR="007B6AB9" w:rsidRPr="0037038C">
        <w:rPr>
          <w:sz w:val="20"/>
          <w:szCs w:val="20"/>
        </w:rPr>
        <w:t xml:space="preserve">umping volumes from annual well reports submitted to Tri-Basin NRD. </w:t>
      </w:r>
      <w:r w:rsidR="00742DF4" w:rsidRPr="0037038C">
        <w:rPr>
          <w:sz w:val="20"/>
          <w:szCs w:val="20"/>
        </w:rPr>
        <w:t xml:space="preserve">The calculated average for Cook Well </w:t>
      </w:r>
      <w:r w:rsidR="007B6AB9" w:rsidRPr="0037038C">
        <w:rPr>
          <w:sz w:val="20"/>
          <w:szCs w:val="20"/>
        </w:rPr>
        <w:t>p</w:t>
      </w:r>
      <w:r w:rsidR="00742DF4" w:rsidRPr="0037038C">
        <w:rPr>
          <w:sz w:val="20"/>
          <w:szCs w:val="20"/>
        </w:rPr>
        <w:t xml:space="preserve">umping reflects only </w:t>
      </w:r>
      <w:r w:rsidR="00C260E4" w:rsidRPr="0037038C">
        <w:rPr>
          <w:sz w:val="20"/>
          <w:szCs w:val="20"/>
        </w:rPr>
        <w:t>three</w:t>
      </w:r>
      <w:r w:rsidR="00742DF4" w:rsidRPr="0037038C">
        <w:rPr>
          <w:sz w:val="20"/>
          <w:szCs w:val="20"/>
        </w:rPr>
        <w:t xml:space="preserve"> years of operations.</w:t>
      </w:r>
    </w:p>
    <w:p w14:paraId="68C38367" w14:textId="3AFBF118" w:rsidR="00742DF4" w:rsidRPr="0037038C" w:rsidRDefault="00821F3B" w:rsidP="00742DF4">
      <w:pPr>
        <w:rPr>
          <w:sz w:val="20"/>
          <w:szCs w:val="20"/>
        </w:rPr>
      </w:pPr>
      <w:r w:rsidRPr="0037038C">
        <w:rPr>
          <w:sz w:val="20"/>
          <w:szCs w:val="20"/>
          <w:vertAlign w:val="superscript"/>
        </w:rPr>
        <w:t>4</w:t>
      </w:r>
      <w:r w:rsidR="00742DF4" w:rsidRPr="0037038C">
        <w:rPr>
          <w:sz w:val="20"/>
          <w:szCs w:val="20"/>
        </w:rPr>
        <w:t xml:space="preserve"> Amount accreting to the river as the recharge slowly moves in the aquifer to the river in addition to amount recaptured by Cook well.  </w:t>
      </w:r>
    </w:p>
    <w:p w14:paraId="2F95019A" w14:textId="115E63EC" w:rsidR="00742DF4" w:rsidRPr="0037038C" w:rsidRDefault="00821F3B" w:rsidP="00742DF4">
      <w:pPr>
        <w:rPr>
          <w:sz w:val="20"/>
          <w:szCs w:val="20"/>
        </w:rPr>
      </w:pPr>
      <w:r w:rsidRPr="0037038C">
        <w:rPr>
          <w:sz w:val="20"/>
          <w:szCs w:val="20"/>
          <w:vertAlign w:val="superscript"/>
        </w:rPr>
        <w:t>5</w:t>
      </w:r>
      <w:r w:rsidR="00742DF4" w:rsidRPr="0037038C">
        <w:rPr>
          <w:sz w:val="20"/>
          <w:szCs w:val="20"/>
          <w:vertAlign w:val="superscript"/>
        </w:rPr>
        <w:t xml:space="preserve"> </w:t>
      </w:r>
      <w:r w:rsidR="00742DF4" w:rsidRPr="0037038C">
        <w:rPr>
          <w:sz w:val="20"/>
          <w:szCs w:val="20"/>
        </w:rPr>
        <w:t>Accounts for transit losses between the location of river accretions and Cook Well returns to Grand Island.</w:t>
      </w:r>
    </w:p>
    <w:p w14:paraId="026B3C1A" w14:textId="13FE9169" w:rsidR="00742DF4" w:rsidRPr="0037038C" w:rsidRDefault="00821F3B" w:rsidP="00742DF4">
      <w:pPr>
        <w:rPr>
          <w:sz w:val="20"/>
          <w:szCs w:val="20"/>
        </w:rPr>
      </w:pPr>
      <w:r w:rsidRPr="0037038C">
        <w:rPr>
          <w:sz w:val="20"/>
          <w:szCs w:val="20"/>
          <w:vertAlign w:val="superscript"/>
        </w:rPr>
        <w:t>6</w:t>
      </w:r>
      <w:r w:rsidR="00742DF4" w:rsidRPr="0037038C">
        <w:rPr>
          <w:sz w:val="20"/>
          <w:szCs w:val="20"/>
        </w:rPr>
        <w:t xml:space="preserve"> Calculated using real time hydrologic conditions.</w:t>
      </w:r>
    </w:p>
    <w:p w14:paraId="281D283C" w14:textId="0C09F6D1" w:rsidR="0039109C" w:rsidRDefault="0039109C" w:rsidP="00742DF4">
      <w:pPr>
        <w:rPr>
          <w:szCs w:val="24"/>
        </w:rPr>
      </w:pPr>
    </w:p>
    <w:p w14:paraId="48ECFB2E" w14:textId="77777777" w:rsidR="00B618AE" w:rsidRDefault="007965D4" w:rsidP="00742DF4">
      <w:pPr>
        <w:rPr>
          <w:szCs w:val="24"/>
        </w:rPr>
      </w:pPr>
      <w:r>
        <w:rPr>
          <w:szCs w:val="24"/>
        </w:rPr>
        <w:t>As shown in Table 2</w:t>
      </w:r>
      <w:r w:rsidR="006D30CD">
        <w:rPr>
          <w:szCs w:val="24"/>
        </w:rPr>
        <w:t>, the combined score for the Phelps County Canal Groundwater Recharge Project and the Cook Recapture Well is 2,700 AF + 160 AF = 2,860 AF.</w:t>
      </w:r>
      <w:r w:rsidR="00163AEF">
        <w:rPr>
          <w:szCs w:val="24"/>
        </w:rPr>
        <w:t xml:space="preserve">  The original 2013 score analysis</w:t>
      </w:r>
      <w:r w:rsidR="00163AEF">
        <w:rPr>
          <w:rStyle w:val="FootnoteReference"/>
          <w:szCs w:val="24"/>
        </w:rPr>
        <w:footnoteReference w:id="20"/>
      </w:r>
      <w:r w:rsidR="00163AEF">
        <w:rPr>
          <w:szCs w:val="24"/>
        </w:rPr>
        <w:t xml:space="preserve"> for Phelps recharge assumed the Program was allocated 50 percent of diversions, recharge, and score credit (later increased to 75 percent).  In that analysis, scenarios were evaluated with the Program share of diversions ranging from 4,622 AF to 4,809 AF.  Through eight years of project operations to date, in only one year (2016) did Program diversions equal or exceed that range, regardless of whether the allocation was 50 percent or 75 percent.</w:t>
      </w:r>
      <w:r w:rsidR="00B618AE">
        <w:rPr>
          <w:szCs w:val="24"/>
        </w:rPr>
        <w:t xml:space="preserve">  </w:t>
      </w:r>
    </w:p>
    <w:p w14:paraId="5AF096C2" w14:textId="77777777" w:rsidR="00B618AE" w:rsidRDefault="00B618AE" w:rsidP="00742DF4">
      <w:pPr>
        <w:rPr>
          <w:szCs w:val="24"/>
        </w:rPr>
      </w:pPr>
    </w:p>
    <w:p w14:paraId="754E69FE" w14:textId="08FA0CEA" w:rsidR="0039109C" w:rsidRDefault="00B618AE" w:rsidP="00742DF4">
      <w:pPr>
        <w:rPr>
          <w:szCs w:val="24"/>
        </w:rPr>
      </w:pPr>
      <w:r>
        <w:rPr>
          <w:szCs w:val="24"/>
        </w:rPr>
        <w:t>The 2016 Cook Well score analysis</w:t>
      </w:r>
      <w:r>
        <w:rPr>
          <w:rStyle w:val="FootnoteReference"/>
          <w:szCs w:val="24"/>
        </w:rPr>
        <w:footnoteReference w:id="21"/>
      </w:r>
      <w:r>
        <w:rPr>
          <w:szCs w:val="24"/>
        </w:rPr>
        <w:t xml:space="preserve"> was based on the relative change in the overall Phelps recharge score with the addition of a recapture well.  With only three years of operations data, the total annual well pumping has not yet equaled or exceeded the approved score, let alone the additional pumping that would be necessary to achieve the score after accounting for river transit losses before reaching Grand Island.</w:t>
      </w:r>
      <w:r w:rsidR="00FB1651">
        <w:rPr>
          <w:szCs w:val="24"/>
        </w:rPr>
        <w:t xml:space="preserve">  While </w:t>
      </w:r>
      <w:r w:rsidR="00FB1651" w:rsidRPr="00C2208E">
        <w:rPr>
          <w:b/>
          <w:szCs w:val="24"/>
        </w:rPr>
        <w:t>Figure 1</w:t>
      </w:r>
      <w:r w:rsidR="00FB1651">
        <w:rPr>
          <w:szCs w:val="24"/>
        </w:rPr>
        <w:t xml:space="preserve"> shows that there are generally upward trends in both invoiced diversions for Phelps recharge and resulting deficit reductions at Grand Island, the annual average deficit reduction of 1,200 AF is far less than the approved score of 2,860 AF.  </w:t>
      </w:r>
      <w:r w:rsidR="00296FB8">
        <w:rPr>
          <w:szCs w:val="24"/>
        </w:rPr>
        <w:t>This appears to be largely the result of l</w:t>
      </w:r>
      <w:r w:rsidR="00E5716C">
        <w:rPr>
          <w:szCs w:val="24"/>
        </w:rPr>
        <w:t xml:space="preserve">ess than </w:t>
      </w:r>
      <w:r w:rsidR="002430C6">
        <w:rPr>
          <w:szCs w:val="24"/>
        </w:rPr>
        <w:t>assumed</w:t>
      </w:r>
      <w:r w:rsidR="00E5716C">
        <w:rPr>
          <w:szCs w:val="24"/>
        </w:rPr>
        <w:t xml:space="preserve"> diversions for recharge into </w:t>
      </w:r>
      <w:r w:rsidR="00E5716C">
        <w:rPr>
          <w:szCs w:val="24"/>
        </w:rPr>
        <w:lastRenderedPageBreak/>
        <w:t>Phelps County Canal and lower than expected Cook Well pumping throughout the initial years of project operations.</w:t>
      </w:r>
    </w:p>
    <w:p w14:paraId="28C385B3" w14:textId="6FECE36A" w:rsidR="00FB1651" w:rsidRDefault="00FB1651" w:rsidP="00742DF4">
      <w:pPr>
        <w:rPr>
          <w:szCs w:val="24"/>
        </w:rPr>
      </w:pPr>
    </w:p>
    <w:p w14:paraId="6DDD4CF8" w14:textId="7F6E705B" w:rsidR="00FB1651" w:rsidRDefault="00FB1651" w:rsidP="00742DF4">
      <w:pPr>
        <w:rPr>
          <w:szCs w:val="24"/>
        </w:rPr>
      </w:pPr>
      <w:r>
        <w:rPr>
          <w:noProof/>
          <w:szCs w:val="24"/>
        </w:rPr>
        <w:drawing>
          <wp:inline distT="0" distB="0" distL="0" distR="0" wp14:anchorId="76222B09" wp14:editId="2EBF640F">
            <wp:extent cx="5935980" cy="2919637"/>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73712" cy="2938195"/>
                    </a:xfrm>
                    <a:prstGeom prst="rect">
                      <a:avLst/>
                    </a:prstGeom>
                    <a:noFill/>
                  </pic:spPr>
                </pic:pic>
              </a:graphicData>
            </a:graphic>
          </wp:inline>
        </w:drawing>
      </w:r>
    </w:p>
    <w:p w14:paraId="4AD95C41" w14:textId="76D576DB" w:rsidR="00FB1651" w:rsidRPr="00C2208E" w:rsidRDefault="00FB1651" w:rsidP="00742DF4">
      <w:pPr>
        <w:rPr>
          <w:b/>
          <w:szCs w:val="24"/>
        </w:rPr>
      </w:pPr>
      <w:r w:rsidRPr="00C2208E">
        <w:rPr>
          <w:b/>
          <w:szCs w:val="24"/>
        </w:rPr>
        <w:t>Figure 1. Phelps recharge invoiced diversions and deficit reductions, 2011-2018</w:t>
      </w:r>
    </w:p>
    <w:p w14:paraId="7ABCB84F" w14:textId="77777777" w:rsidR="00494FEF" w:rsidRDefault="00494FEF" w:rsidP="00B9798C">
      <w:pPr>
        <w:pStyle w:val="ListParagraph"/>
        <w:numPr>
          <w:ilvl w:val="0"/>
          <w:numId w:val="4"/>
        </w:numPr>
        <w:spacing w:before="240" w:after="240"/>
        <w:rPr>
          <w:b/>
        </w:rPr>
      </w:pPr>
      <w:r>
        <w:rPr>
          <w:b/>
        </w:rPr>
        <w:t>Elwood Reservoir Recharge Project</w:t>
      </w:r>
    </w:p>
    <w:p w14:paraId="7F1EB7B7" w14:textId="19F4F38E" w:rsidR="00B32D0F" w:rsidRDefault="00524305" w:rsidP="00494FEF">
      <w:pPr>
        <w:pStyle w:val="ListParagraph"/>
        <w:spacing w:before="120" w:after="240"/>
        <w:ind w:left="0"/>
        <w:rPr>
          <w:szCs w:val="24"/>
        </w:rPr>
      </w:pPr>
      <w:r>
        <w:rPr>
          <w:szCs w:val="24"/>
        </w:rPr>
        <w:t xml:space="preserve">Elwood Reservoir was constructed in the late-1970s and is owned and operated by the CNPPID to provide supplemental irrigation water to the E-65 canal system.  The reservoir sits on top of porous soils and leaks significantly into the underlying groundwater aquifer.  Groundwater modeling shows that </w:t>
      </w:r>
      <w:r w:rsidR="00024EB5">
        <w:rPr>
          <w:szCs w:val="24"/>
        </w:rPr>
        <w:t>about 24</w:t>
      </w:r>
      <w:r w:rsidR="00C55ADF">
        <w:rPr>
          <w:szCs w:val="24"/>
        </w:rPr>
        <w:t xml:space="preserve"> percent</w:t>
      </w:r>
      <w:r w:rsidR="00024EB5">
        <w:rPr>
          <w:szCs w:val="24"/>
        </w:rPr>
        <w:t xml:space="preserve"> of the </w:t>
      </w:r>
      <w:r>
        <w:rPr>
          <w:szCs w:val="24"/>
        </w:rPr>
        <w:t>water that seeps from Elwood Reservoir migrate</w:t>
      </w:r>
      <w:r w:rsidR="00024EB5">
        <w:rPr>
          <w:szCs w:val="24"/>
        </w:rPr>
        <w:t>s</w:t>
      </w:r>
      <w:r>
        <w:rPr>
          <w:szCs w:val="24"/>
        </w:rPr>
        <w:t xml:space="preserve"> southward towards the Republican River basin, but most of the water</w:t>
      </w:r>
      <w:r w:rsidR="00024EB5">
        <w:rPr>
          <w:szCs w:val="24"/>
        </w:rPr>
        <w:t xml:space="preserve"> (about 76</w:t>
      </w:r>
      <w:r w:rsidR="00C55ADF">
        <w:rPr>
          <w:szCs w:val="24"/>
        </w:rPr>
        <w:t xml:space="preserve"> percent</w:t>
      </w:r>
      <w:r w:rsidR="00024EB5">
        <w:rPr>
          <w:szCs w:val="24"/>
        </w:rPr>
        <w:t>)</w:t>
      </w:r>
      <w:r>
        <w:rPr>
          <w:szCs w:val="24"/>
        </w:rPr>
        <w:t xml:space="preserve"> flows through the subsurface in a north to northeasterly direction, </w:t>
      </w:r>
      <w:r w:rsidR="00024EB5">
        <w:rPr>
          <w:szCs w:val="24"/>
        </w:rPr>
        <w:t xml:space="preserve">a portion of which </w:t>
      </w:r>
      <w:r>
        <w:rPr>
          <w:szCs w:val="24"/>
        </w:rPr>
        <w:t>eventually emerg</w:t>
      </w:r>
      <w:r w:rsidR="00024EB5">
        <w:rPr>
          <w:szCs w:val="24"/>
        </w:rPr>
        <w:t>es</w:t>
      </w:r>
      <w:r>
        <w:rPr>
          <w:szCs w:val="24"/>
        </w:rPr>
        <w:t xml:space="preserve"> as baseflow accretions in the Platte River</w:t>
      </w:r>
      <w:r w:rsidR="00124382">
        <w:rPr>
          <w:szCs w:val="24"/>
        </w:rPr>
        <w:t xml:space="preserve"> upstream of Overton</w:t>
      </w:r>
      <w:r>
        <w:rPr>
          <w:szCs w:val="24"/>
        </w:rPr>
        <w:t>.</w:t>
      </w:r>
      <w:r w:rsidR="00AF38F7">
        <w:rPr>
          <w:szCs w:val="24"/>
        </w:rPr>
        <w:t xml:space="preserve">  Some water that seeps from Elwood Reservoir may also be intercepted by</w:t>
      </w:r>
      <w:r w:rsidR="00B32D0F">
        <w:rPr>
          <w:szCs w:val="24"/>
        </w:rPr>
        <w:t xml:space="preserve"> Plum Creek, </w:t>
      </w:r>
      <w:r w:rsidR="00FD44EE">
        <w:rPr>
          <w:szCs w:val="24"/>
        </w:rPr>
        <w:t xml:space="preserve">a tributary stream </w:t>
      </w:r>
      <w:r w:rsidR="00B32D0F">
        <w:rPr>
          <w:szCs w:val="24"/>
        </w:rPr>
        <w:t>which lies between the reservoir and the Platte River</w:t>
      </w:r>
      <w:r w:rsidR="00FD44EE">
        <w:rPr>
          <w:szCs w:val="24"/>
        </w:rPr>
        <w:t>, and</w:t>
      </w:r>
      <w:r w:rsidR="006A1342">
        <w:rPr>
          <w:szCs w:val="24"/>
        </w:rPr>
        <w:t xml:space="preserve"> </w:t>
      </w:r>
      <w:r w:rsidR="00926F58">
        <w:rPr>
          <w:szCs w:val="24"/>
        </w:rPr>
        <w:t xml:space="preserve">conveyed to the </w:t>
      </w:r>
      <w:r w:rsidR="005E7B42">
        <w:rPr>
          <w:szCs w:val="24"/>
        </w:rPr>
        <w:t>r</w:t>
      </w:r>
      <w:r w:rsidR="00926F58">
        <w:rPr>
          <w:szCs w:val="24"/>
        </w:rPr>
        <w:t xml:space="preserve">iver much faster than </w:t>
      </w:r>
      <w:r w:rsidR="00FD44EE">
        <w:rPr>
          <w:szCs w:val="24"/>
        </w:rPr>
        <w:t>through</w:t>
      </w:r>
      <w:r w:rsidR="00926F58">
        <w:rPr>
          <w:szCs w:val="24"/>
        </w:rPr>
        <w:t xml:space="preserve"> groundwater </w:t>
      </w:r>
      <w:r w:rsidR="008711E6">
        <w:rPr>
          <w:szCs w:val="24"/>
        </w:rPr>
        <w:t>migration</w:t>
      </w:r>
      <w:r w:rsidR="00926F58">
        <w:rPr>
          <w:szCs w:val="24"/>
        </w:rPr>
        <w:t xml:space="preserve">. </w:t>
      </w:r>
    </w:p>
    <w:p w14:paraId="59BF88D4" w14:textId="4D5A65D5" w:rsidR="004446AA" w:rsidRDefault="004446AA" w:rsidP="00494FEF">
      <w:pPr>
        <w:pStyle w:val="ListParagraph"/>
        <w:spacing w:before="120" w:after="240"/>
        <w:ind w:left="0"/>
        <w:rPr>
          <w:szCs w:val="24"/>
        </w:rPr>
      </w:pPr>
      <w:r>
        <w:rPr>
          <w:szCs w:val="24"/>
        </w:rPr>
        <w:t>The Program and the CNPPID first entered into a WSA for intentional groundwater recharge through Elwood Reservoir in 2015.  The project functions as a means to re-time excess flows, which are diverted at the CNPPID’s Tri-County Supply Canal headgate and carried through that system to a point upstream of Johnson Lake, where the water is turned into the E-65 Canal.  Diverted excess flows travel along the E-65 Canal to the Carl T. Curtis Pump Station, where the water is pumped into Elwood Reservoir.  The pumping rate is a function of water surface elevation in the reservoir,</w:t>
      </w:r>
      <w:r w:rsidR="00B053F2">
        <w:rPr>
          <w:szCs w:val="24"/>
        </w:rPr>
        <w:t xml:space="preserve"> with higher rates when the reservoir is low and lower rates when the reservoir is high,</w:t>
      </w:r>
      <w:r>
        <w:rPr>
          <w:szCs w:val="24"/>
        </w:rPr>
        <w:t xml:space="preserve"> but there must be a minimum of 75 cfs in order to pump into the reservoir.</w:t>
      </w:r>
    </w:p>
    <w:p w14:paraId="3E4B9C2E" w14:textId="6BC1BEEB" w:rsidR="004A266A" w:rsidRDefault="00745BCD" w:rsidP="00494FEF">
      <w:pPr>
        <w:pStyle w:val="ListParagraph"/>
        <w:spacing w:before="120" w:after="240"/>
        <w:ind w:left="0"/>
        <w:rPr>
          <w:szCs w:val="24"/>
        </w:rPr>
      </w:pPr>
      <w:r>
        <w:rPr>
          <w:szCs w:val="24"/>
        </w:rPr>
        <w:t xml:space="preserve">The WSA and temporary diversion permits for 2018 Elwood Reservoir recharge are included in </w:t>
      </w:r>
      <w:r w:rsidRPr="00745BCD">
        <w:rPr>
          <w:b/>
          <w:szCs w:val="24"/>
        </w:rPr>
        <w:t xml:space="preserve">Appendix </w:t>
      </w:r>
      <w:r w:rsidR="00E27C8F">
        <w:rPr>
          <w:b/>
          <w:szCs w:val="24"/>
        </w:rPr>
        <w:t>D</w:t>
      </w:r>
      <w:r>
        <w:rPr>
          <w:szCs w:val="24"/>
        </w:rPr>
        <w:t>.  The original October 2017 WSA allocated 50</w:t>
      </w:r>
      <w:r w:rsidR="00843234">
        <w:rPr>
          <w:szCs w:val="24"/>
        </w:rPr>
        <w:t xml:space="preserve"> percent </w:t>
      </w:r>
      <w:r>
        <w:rPr>
          <w:szCs w:val="24"/>
        </w:rPr>
        <w:t xml:space="preserve">of Elwood recharge to the </w:t>
      </w:r>
      <w:r>
        <w:rPr>
          <w:szCs w:val="24"/>
        </w:rPr>
        <w:lastRenderedPageBreak/>
        <w:t>Tri-Basin NRD and the State of Nebraska and 50</w:t>
      </w:r>
      <w:r w:rsidR="00843234">
        <w:rPr>
          <w:szCs w:val="24"/>
        </w:rPr>
        <w:t xml:space="preserve"> percent </w:t>
      </w:r>
      <w:r>
        <w:rPr>
          <w:szCs w:val="24"/>
        </w:rPr>
        <w:t xml:space="preserve">to the Program, up to a maximum volume of 8,000 AF.  This was amended in January 2018 to increase </w:t>
      </w:r>
      <w:r w:rsidR="003B445D">
        <w:rPr>
          <w:szCs w:val="24"/>
        </w:rPr>
        <w:t>the maximum volume for which the Program can be billed</w:t>
      </w:r>
      <w:r>
        <w:rPr>
          <w:szCs w:val="24"/>
        </w:rPr>
        <w:t xml:space="preserve"> to 12,000 AF</w:t>
      </w:r>
      <w:r w:rsidR="00197601">
        <w:rPr>
          <w:szCs w:val="24"/>
        </w:rPr>
        <w:t xml:space="preserve"> and again in November 2018, increasing</w:t>
      </w:r>
      <w:r w:rsidR="003B445D">
        <w:rPr>
          <w:szCs w:val="24"/>
        </w:rPr>
        <w:t xml:space="preserve"> the upper limit </w:t>
      </w:r>
      <w:r w:rsidR="00197601">
        <w:rPr>
          <w:szCs w:val="24"/>
        </w:rPr>
        <w:t>to 30,000 AF</w:t>
      </w:r>
      <w:r>
        <w:rPr>
          <w:szCs w:val="24"/>
        </w:rPr>
        <w:t xml:space="preserve">.  Invoices show that a total of </w:t>
      </w:r>
      <w:r w:rsidR="00F20DC1">
        <w:rPr>
          <w:szCs w:val="24"/>
        </w:rPr>
        <w:t>14,915</w:t>
      </w:r>
      <w:r>
        <w:rPr>
          <w:szCs w:val="24"/>
        </w:rPr>
        <w:t xml:space="preserve">.5 AF was pumped into Elwood Reservoir for Program recharge </w:t>
      </w:r>
      <w:r w:rsidR="00F20DC1">
        <w:rPr>
          <w:szCs w:val="24"/>
        </w:rPr>
        <w:t>during calendar year</w:t>
      </w:r>
      <w:r>
        <w:rPr>
          <w:szCs w:val="24"/>
        </w:rPr>
        <w:t xml:space="preserve"> 2018.  </w:t>
      </w:r>
    </w:p>
    <w:p w14:paraId="400C1579" w14:textId="02C63A95" w:rsidR="008C29C4" w:rsidRDefault="00745BCD" w:rsidP="00494FEF">
      <w:pPr>
        <w:pStyle w:val="ListParagraph"/>
        <w:spacing w:before="120" w:after="240"/>
        <w:ind w:left="0"/>
        <w:rPr>
          <w:szCs w:val="24"/>
        </w:rPr>
      </w:pPr>
      <w:r>
        <w:rPr>
          <w:szCs w:val="24"/>
        </w:rPr>
        <w:t xml:space="preserve">Minus a small amount of evaporation losses, it is assumed for accounting purposes that all </w:t>
      </w:r>
      <w:r w:rsidR="00A53EEA">
        <w:rPr>
          <w:szCs w:val="24"/>
        </w:rPr>
        <w:t>water pumped into Elwood Reservoir for the Program seeps out</w:t>
      </w:r>
      <w:r>
        <w:rPr>
          <w:szCs w:val="24"/>
        </w:rPr>
        <w:t xml:space="preserve"> as groundwater recharge.</w:t>
      </w:r>
      <w:r w:rsidR="00916A75">
        <w:rPr>
          <w:szCs w:val="24"/>
        </w:rPr>
        <w:t xml:space="preserve">  Elwood recharge is routed to the Platte River using </w:t>
      </w:r>
      <w:r w:rsidR="00CD2DDF">
        <w:rPr>
          <w:szCs w:val="24"/>
        </w:rPr>
        <w:t xml:space="preserve">the COHYST groundwater model, with minor site-specific modifications that were implemented for the project score analysis.  Baseflow accretions reaching the Platte River are routed to Grand Island then compared against target flow shortages to estimate a volume of deficit reductions resulting </w:t>
      </w:r>
      <w:r w:rsidR="00024EB5">
        <w:rPr>
          <w:szCs w:val="24"/>
        </w:rPr>
        <w:t xml:space="preserve">from </w:t>
      </w:r>
      <w:r w:rsidR="00CD2DDF">
        <w:rPr>
          <w:szCs w:val="24"/>
        </w:rPr>
        <w:t xml:space="preserve">the project in a given calendar year. </w:t>
      </w:r>
    </w:p>
    <w:p w14:paraId="12E0D2B2" w14:textId="68D618F2" w:rsidR="004446AA" w:rsidRDefault="00745BCD" w:rsidP="00494FEF">
      <w:pPr>
        <w:pStyle w:val="ListParagraph"/>
        <w:spacing w:before="120" w:after="240"/>
        <w:ind w:left="0"/>
        <w:rPr>
          <w:szCs w:val="24"/>
        </w:rPr>
      </w:pPr>
      <w:r w:rsidRPr="00644A9D">
        <w:rPr>
          <w:b/>
          <w:szCs w:val="24"/>
        </w:rPr>
        <w:t xml:space="preserve">Table </w:t>
      </w:r>
      <w:r w:rsidR="00E27C8F">
        <w:rPr>
          <w:b/>
          <w:szCs w:val="24"/>
        </w:rPr>
        <w:t>5</w:t>
      </w:r>
      <w:r w:rsidR="00E27C8F">
        <w:rPr>
          <w:szCs w:val="24"/>
        </w:rPr>
        <w:t xml:space="preserve"> </w:t>
      </w:r>
      <w:r>
        <w:rPr>
          <w:szCs w:val="24"/>
        </w:rPr>
        <w:t xml:space="preserve">provides the results of Elwood recharge accounting since the project was initiated in 2015.  The amounts recharged shown in the table for each calendar year </w:t>
      </w:r>
      <w:r w:rsidR="00500928">
        <w:rPr>
          <w:szCs w:val="24"/>
        </w:rPr>
        <w:t>reflect the volume of seepage from the reservoir, not the volume pumped into the reservoir.  For example, some water added to the reservoir for recharge purposes in December 201</w:t>
      </w:r>
      <w:r w:rsidR="004A266A">
        <w:rPr>
          <w:szCs w:val="24"/>
        </w:rPr>
        <w:t>8</w:t>
      </w:r>
      <w:r w:rsidR="00500928">
        <w:rPr>
          <w:szCs w:val="24"/>
        </w:rPr>
        <w:t xml:space="preserve"> seep</w:t>
      </w:r>
      <w:r w:rsidR="006A55C6">
        <w:rPr>
          <w:szCs w:val="24"/>
        </w:rPr>
        <w:t>ed</w:t>
      </w:r>
      <w:r w:rsidR="00500928">
        <w:rPr>
          <w:szCs w:val="24"/>
        </w:rPr>
        <w:t xml:space="preserve"> out by the end of that calendar year, but most of the seepage will continue into 201</w:t>
      </w:r>
      <w:r w:rsidR="004A266A">
        <w:rPr>
          <w:szCs w:val="24"/>
        </w:rPr>
        <w:t>9</w:t>
      </w:r>
      <w:r w:rsidR="00500928">
        <w:rPr>
          <w:szCs w:val="24"/>
        </w:rPr>
        <w:t xml:space="preserve"> and will therefore show up in the amount recharged in calendar year 201</w:t>
      </w:r>
      <w:r w:rsidR="004A266A">
        <w:rPr>
          <w:szCs w:val="24"/>
        </w:rPr>
        <w:t>9</w:t>
      </w:r>
      <w:r w:rsidR="00500928">
        <w:rPr>
          <w:szCs w:val="24"/>
        </w:rPr>
        <w:t>.</w:t>
      </w:r>
      <w:r w:rsidR="00644A9D">
        <w:rPr>
          <w:szCs w:val="24"/>
        </w:rPr>
        <w:t xml:space="preserve">  Also notable is the small volume of lagged accretions compared to amounts recharged since 2015.  Elwood Reservoir is much further from the Platte River than the Phelps County Canal (about 8 miles</w:t>
      </w:r>
      <w:r w:rsidR="001E6FC5">
        <w:rPr>
          <w:szCs w:val="24"/>
        </w:rPr>
        <w:t xml:space="preserve"> along a direct flow path</w:t>
      </w:r>
      <w:r w:rsidR="00644A9D">
        <w:rPr>
          <w:szCs w:val="24"/>
        </w:rPr>
        <w:t xml:space="preserve">), so the travel times for groundwater migration are much greater.  The Program </w:t>
      </w:r>
      <w:r w:rsidR="005B681E">
        <w:rPr>
          <w:szCs w:val="24"/>
        </w:rPr>
        <w:t>is pursuing</w:t>
      </w:r>
      <w:r w:rsidR="00644A9D">
        <w:rPr>
          <w:szCs w:val="24"/>
        </w:rPr>
        <w:t xml:space="preserve"> development of a recapture well network between Elwood Reservoir and the Platte River in order to accelerate this timeline and increase the near-term effectiveness of Elwood recharge for reducing deficits to target flows.</w:t>
      </w:r>
    </w:p>
    <w:p w14:paraId="370D8A5D" w14:textId="62593B01" w:rsidR="004446AA" w:rsidRPr="0069660B" w:rsidRDefault="004446AA" w:rsidP="004446AA">
      <w:pPr>
        <w:rPr>
          <w:b/>
          <w:sz w:val="22"/>
        </w:rPr>
      </w:pPr>
      <w:r w:rsidRPr="0069660B">
        <w:rPr>
          <w:b/>
          <w:sz w:val="22"/>
        </w:rPr>
        <w:t xml:space="preserve">Table </w:t>
      </w:r>
      <w:r w:rsidR="00E27C8F">
        <w:rPr>
          <w:b/>
          <w:sz w:val="22"/>
        </w:rPr>
        <w:t>5</w:t>
      </w:r>
      <w:r w:rsidR="009D4FD7">
        <w:rPr>
          <w:b/>
          <w:sz w:val="22"/>
        </w:rPr>
        <w:t>.</w:t>
      </w:r>
      <w:r w:rsidRPr="0069660B">
        <w:rPr>
          <w:b/>
          <w:sz w:val="22"/>
        </w:rPr>
        <w:t xml:space="preserve"> Elwood Reservoir Groundwater Recharge Project Yields</w:t>
      </w:r>
    </w:p>
    <w:tbl>
      <w:tblPr>
        <w:tblW w:w="9468" w:type="dxa"/>
        <w:tblLayout w:type="fixed"/>
        <w:tblLook w:val="04A0" w:firstRow="1" w:lastRow="0" w:firstColumn="1" w:lastColumn="0" w:noHBand="0" w:noVBand="1"/>
      </w:tblPr>
      <w:tblGrid>
        <w:gridCol w:w="1578"/>
        <w:gridCol w:w="1578"/>
        <w:gridCol w:w="1578"/>
        <w:gridCol w:w="1578"/>
        <w:gridCol w:w="1578"/>
        <w:gridCol w:w="1578"/>
      </w:tblGrid>
      <w:tr w:rsidR="000F57E3" w:rsidRPr="0069660B" w14:paraId="16605E7D" w14:textId="77777777" w:rsidTr="003D3831">
        <w:trPr>
          <w:trHeight w:val="593"/>
        </w:trPr>
        <w:tc>
          <w:tcPr>
            <w:tcW w:w="1578"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hideMark/>
          </w:tcPr>
          <w:p w14:paraId="1D81F524" w14:textId="45E30E96" w:rsidR="000F57E3" w:rsidRPr="00CD354B" w:rsidRDefault="00DB0F13" w:rsidP="000D5A26">
            <w:pPr>
              <w:jc w:val="center"/>
              <w:rPr>
                <w:b/>
                <w:bCs/>
                <w:color w:val="000000"/>
                <w:sz w:val="22"/>
                <w:highlight w:val="yellow"/>
              </w:rPr>
            </w:pPr>
            <w:r>
              <w:rPr>
                <w:b/>
                <w:bCs/>
                <w:color w:val="000000"/>
                <w:sz w:val="22"/>
              </w:rPr>
              <w:t>Year</w:t>
            </w:r>
          </w:p>
        </w:tc>
        <w:tc>
          <w:tcPr>
            <w:tcW w:w="1578" w:type="dxa"/>
            <w:tcBorders>
              <w:top w:val="single" w:sz="4" w:space="0" w:color="auto"/>
              <w:left w:val="nil"/>
              <w:bottom w:val="single" w:sz="4" w:space="0" w:color="auto"/>
              <w:right w:val="single" w:sz="4" w:space="0" w:color="auto"/>
            </w:tcBorders>
            <w:shd w:val="clear" w:color="auto" w:fill="C2D69B" w:themeFill="accent3" w:themeFillTint="99"/>
            <w:vAlign w:val="bottom"/>
          </w:tcPr>
          <w:p w14:paraId="2F28049D" w14:textId="4F6AAB5B" w:rsidR="000D5A26" w:rsidRPr="00CD354B" w:rsidRDefault="000D5A26" w:rsidP="000D5A26">
            <w:pPr>
              <w:jc w:val="center"/>
              <w:rPr>
                <w:b/>
                <w:bCs/>
                <w:color w:val="000000"/>
                <w:sz w:val="22"/>
              </w:rPr>
            </w:pPr>
            <w:r w:rsidRPr="00CD354B">
              <w:rPr>
                <w:b/>
                <w:bCs/>
                <w:color w:val="000000"/>
                <w:sz w:val="22"/>
              </w:rPr>
              <w:t>Invoiced Diversions</w:t>
            </w:r>
            <w:r w:rsidR="00892E1D" w:rsidRPr="00CD354B">
              <w:rPr>
                <w:b/>
                <w:bCs/>
                <w:color w:val="000000"/>
                <w:sz w:val="22"/>
                <w:vertAlign w:val="superscript"/>
              </w:rPr>
              <w:t>1</w:t>
            </w:r>
            <w:r w:rsidRPr="00CD354B">
              <w:rPr>
                <w:b/>
                <w:bCs/>
                <w:color w:val="000000"/>
                <w:sz w:val="22"/>
              </w:rPr>
              <w:t xml:space="preserve"> </w:t>
            </w:r>
          </w:p>
          <w:p w14:paraId="0047C6F6" w14:textId="3032FD31" w:rsidR="000F57E3" w:rsidRPr="00CD354B" w:rsidRDefault="000D5A26" w:rsidP="000D5A26">
            <w:pPr>
              <w:jc w:val="center"/>
              <w:rPr>
                <w:b/>
                <w:bCs/>
                <w:color w:val="000000"/>
                <w:sz w:val="22"/>
              </w:rPr>
            </w:pPr>
            <w:r w:rsidRPr="00CD354B">
              <w:rPr>
                <w:b/>
                <w:bCs/>
                <w:color w:val="000000"/>
                <w:sz w:val="22"/>
              </w:rPr>
              <w:t>(AF)</w:t>
            </w:r>
          </w:p>
        </w:tc>
        <w:tc>
          <w:tcPr>
            <w:tcW w:w="1578"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hideMark/>
          </w:tcPr>
          <w:p w14:paraId="1DA63A60" w14:textId="1482DDB8" w:rsidR="000F57E3" w:rsidRPr="00CD354B" w:rsidRDefault="000F57E3" w:rsidP="000D5A26">
            <w:pPr>
              <w:jc w:val="center"/>
              <w:rPr>
                <w:b/>
                <w:bCs/>
                <w:color w:val="000000"/>
                <w:sz w:val="22"/>
              </w:rPr>
            </w:pPr>
            <w:r w:rsidRPr="00CD354B">
              <w:rPr>
                <w:b/>
                <w:bCs/>
                <w:color w:val="000000"/>
                <w:sz w:val="22"/>
              </w:rPr>
              <w:t>Amount Recharged</w:t>
            </w:r>
            <w:r w:rsidR="00892E1D" w:rsidRPr="00CD354B">
              <w:rPr>
                <w:b/>
                <w:bCs/>
                <w:color w:val="000000"/>
                <w:sz w:val="22"/>
                <w:vertAlign w:val="superscript"/>
              </w:rPr>
              <w:t>2</w:t>
            </w:r>
          </w:p>
          <w:p w14:paraId="0D1A359E" w14:textId="525D3D82" w:rsidR="000F57E3" w:rsidRPr="00CD354B" w:rsidRDefault="000F57E3" w:rsidP="000D5A26">
            <w:pPr>
              <w:jc w:val="center"/>
              <w:rPr>
                <w:b/>
                <w:bCs/>
                <w:color w:val="000000"/>
                <w:sz w:val="22"/>
                <w:highlight w:val="yellow"/>
              </w:rPr>
            </w:pPr>
            <w:r w:rsidRPr="00CD354B">
              <w:rPr>
                <w:b/>
                <w:bCs/>
                <w:color w:val="000000"/>
                <w:sz w:val="22"/>
              </w:rPr>
              <w:t>(AF)</w:t>
            </w:r>
          </w:p>
        </w:tc>
        <w:tc>
          <w:tcPr>
            <w:tcW w:w="1578" w:type="dxa"/>
            <w:tcBorders>
              <w:top w:val="single" w:sz="4" w:space="0" w:color="auto"/>
              <w:left w:val="nil"/>
              <w:bottom w:val="single" w:sz="4" w:space="0" w:color="auto"/>
              <w:right w:val="single" w:sz="4" w:space="0" w:color="auto"/>
            </w:tcBorders>
            <w:shd w:val="clear" w:color="auto" w:fill="C2D69B" w:themeFill="accent3" w:themeFillTint="99"/>
            <w:vAlign w:val="bottom"/>
            <w:hideMark/>
          </w:tcPr>
          <w:p w14:paraId="41879F7A" w14:textId="0DD630AA" w:rsidR="000F57E3" w:rsidRPr="00CD354B" w:rsidRDefault="000F57E3" w:rsidP="000D5A26">
            <w:pPr>
              <w:jc w:val="center"/>
              <w:rPr>
                <w:b/>
                <w:bCs/>
                <w:color w:val="000000"/>
                <w:sz w:val="22"/>
                <w:highlight w:val="yellow"/>
              </w:rPr>
            </w:pPr>
            <w:r w:rsidRPr="00CD354B">
              <w:rPr>
                <w:b/>
                <w:bCs/>
                <w:color w:val="000000"/>
                <w:sz w:val="22"/>
              </w:rPr>
              <w:t>Lagged Accretions</w:t>
            </w:r>
            <w:r w:rsidR="00892E1D" w:rsidRPr="00CD354B">
              <w:rPr>
                <w:b/>
                <w:bCs/>
                <w:color w:val="000000"/>
                <w:sz w:val="22"/>
                <w:vertAlign w:val="superscript"/>
              </w:rPr>
              <w:t>3</w:t>
            </w:r>
            <w:r w:rsidRPr="00CD354B">
              <w:rPr>
                <w:b/>
                <w:bCs/>
                <w:color w:val="000000"/>
                <w:sz w:val="22"/>
              </w:rPr>
              <w:t xml:space="preserve"> </w:t>
            </w:r>
            <w:r w:rsidRPr="00CD354B">
              <w:rPr>
                <w:b/>
                <w:bCs/>
                <w:color w:val="000000"/>
                <w:sz w:val="22"/>
              </w:rPr>
              <w:br/>
              <w:t>(AF)</w:t>
            </w:r>
          </w:p>
        </w:tc>
        <w:tc>
          <w:tcPr>
            <w:tcW w:w="1578" w:type="dxa"/>
            <w:tcBorders>
              <w:top w:val="single" w:sz="4" w:space="0" w:color="auto"/>
              <w:left w:val="nil"/>
              <w:bottom w:val="single" w:sz="4" w:space="0" w:color="auto"/>
              <w:right w:val="single" w:sz="4" w:space="0" w:color="auto"/>
            </w:tcBorders>
            <w:shd w:val="clear" w:color="auto" w:fill="C2D69B" w:themeFill="accent3" w:themeFillTint="99"/>
            <w:vAlign w:val="bottom"/>
            <w:hideMark/>
          </w:tcPr>
          <w:p w14:paraId="0AFDE430" w14:textId="702FA49F" w:rsidR="000F57E3" w:rsidRPr="00CD354B" w:rsidRDefault="000F57E3" w:rsidP="000D5A26">
            <w:pPr>
              <w:jc w:val="center"/>
              <w:rPr>
                <w:b/>
                <w:bCs/>
                <w:color w:val="000000"/>
                <w:sz w:val="22"/>
                <w:highlight w:val="yellow"/>
              </w:rPr>
            </w:pPr>
            <w:r w:rsidRPr="00CD354B">
              <w:rPr>
                <w:b/>
                <w:bCs/>
                <w:color w:val="000000"/>
                <w:sz w:val="22"/>
              </w:rPr>
              <w:t>Yield at Grand Island</w:t>
            </w:r>
            <w:r w:rsidR="00892E1D" w:rsidRPr="00CD354B">
              <w:rPr>
                <w:b/>
                <w:bCs/>
                <w:color w:val="000000"/>
                <w:sz w:val="22"/>
                <w:vertAlign w:val="superscript"/>
              </w:rPr>
              <w:t>4</w:t>
            </w:r>
            <w:r w:rsidRPr="00CD354B">
              <w:rPr>
                <w:b/>
                <w:bCs/>
                <w:color w:val="000000"/>
                <w:sz w:val="22"/>
              </w:rPr>
              <w:br/>
              <w:t>(AF)</w:t>
            </w:r>
          </w:p>
        </w:tc>
        <w:tc>
          <w:tcPr>
            <w:tcW w:w="1578" w:type="dxa"/>
            <w:tcBorders>
              <w:top w:val="single" w:sz="4" w:space="0" w:color="auto"/>
              <w:left w:val="nil"/>
              <w:bottom w:val="single" w:sz="4" w:space="0" w:color="auto"/>
              <w:right w:val="single" w:sz="4" w:space="0" w:color="auto"/>
            </w:tcBorders>
            <w:shd w:val="clear" w:color="auto" w:fill="C2D69B" w:themeFill="accent3" w:themeFillTint="99"/>
            <w:vAlign w:val="bottom"/>
            <w:hideMark/>
          </w:tcPr>
          <w:p w14:paraId="4927C93F" w14:textId="0CDEBACA" w:rsidR="000F57E3" w:rsidRPr="00CD354B" w:rsidRDefault="000F57E3" w:rsidP="000D5A26">
            <w:pPr>
              <w:jc w:val="center"/>
              <w:rPr>
                <w:b/>
                <w:bCs/>
                <w:color w:val="000000"/>
                <w:sz w:val="22"/>
                <w:highlight w:val="yellow"/>
              </w:rPr>
            </w:pPr>
            <w:r w:rsidRPr="00CD354B">
              <w:rPr>
                <w:b/>
                <w:bCs/>
                <w:color w:val="000000"/>
                <w:sz w:val="22"/>
              </w:rPr>
              <w:t xml:space="preserve">Deficit Reductions to Target Flows </w:t>
            </w:r>
            <w:r w:rsidRPr="00CD354B">
              <w:rPr>
                <w:b/>
                <w:bCs/>
                <w:color w:val="000000"/>
                <w:sz w:val="22"/>
              </w:rPr>
              <w:br/>
              <w:t>(AF)</w:t>
            </w:r>
            <w:r w:rsidR="00892E1D" w:rsidRPr="00CD354B">
              <w:rPr>
                <w:b/>
                <w:bCs/>
                <w:color w:val="000000"/>
                <w:sz w:val="22"/>
                <w:vertAlign w:val="superscript"/>
              </w:rPr>
              <w:t>5</w:t>
            </w:r>
          </w:p>
        </w:tc>
      </w:tr>
      <w:tr w:rsidR="007B6E80" w:rsidRPr="0069660B" w14:paraId="64E51999" w14:textId="77777777" w:rsidTr="00BE1863">
        <w:trPr>
          <w:trHeight w:val="288"/>
        </w:trPr>
        <w:tc>
          <w:tcPr>
            <w:tcW w:w="1578" w:type="dxa"/>
            <w:tcBorders>
              <w:top w:val="nil"/>
              <w:left w:val="single" w:sz="4" w:space="0" w:color="auto"/>
              <w:bottom w:val="single" w:sz="4" w:space="0" w:color="auto"/>
              <w:right w:val="single" w:sz="4" w:space="0" w:color="auto"/>
            </w:tcBorders>
            <w:shd w:val="clear" w:color="auto" w:fill="auto"/>
            <w:noWrap/>
            <w:vAlign w:val="center"/>
            <w:hideMark/>
          </w:tcPr>
          <w:p w14:paraId="0A15AAC5" w14:textId="77777777" w:rsidR="007B6E80" w:rsidRPr="00CD354B" w:rsidRDefault="007B6E80" w:rsidP="007B6E80">
            <w:pPr>
              <w:jc w:val="center"/>
              <w:rPr>
                <w:color w:val="000000"/>
                <w:sz w:val="22"/>
              </w:rPr>
            </w:pPr>
            <w:r w:rsidRPr="00CD354B">
              <w:rPr>
                <w:color w:val="000000"/>
                <w:sz w:val="22"/>
              </w:rPr>
              <w:t>2015</w:t>
            </w:r>
          </w:p>
        </w:tc>
        <w:tc>
          <w:tcPr>
            <w:tcW w:w="1578" w:type="dxa"/>
            <w:tcBorders>
              <w:top w:val="single" w:sz="4" w:space="0" w:color="auto"/>
              <w:left w:val="nil"/>
              <w:bottom w:val="single" w:sz="4" w:space="0" w:color="auto"/>
              <w:right w:val="single" w:sz="4" w:space="0" w:color="auto"/>
            </w:tcBorders>
            <w:vAlign w:val="center"/>
          </w:tcPr>
          <w:p w14:paraId="471F95C1" w14:textId="42BA3E57" w:rsidR="007B6E80" w:rsidRPr="00CD354B" w:rsidRDefault="007B6E80" w:rsidP="007B6E80">
            <w:pPr>
              <w:jc w:val="center"/>
              <w:rPr>
                <w:color w:val="000000"/>
                <w:sz w:val="22"/>
              </w:rPr>
            </w:pPr>
            <w:r w:rsidRPr="00CD354B">
              <w:rPr>
                <w:sz w:val="22"/>
              </w:rPr>
              <w:t>14,785</w:t>
            </w:r>
          </w:p>
        </w:tc>
        <w:tc>
          <w:tcPr>
            <w:tcW w:w="1578" w:type="dxa"/>
            <w:tcBorders>
              <w:top w:val="nil"/>
              <w:left w:val="single" w:sz="4" w:space="0" w:color="auto"/>
              <w:bottom w:val="single" w:sz="4" w:space="0" w:color="auto"/>
              <w:right w:val="single" w:sz="4" w:space="0" w:color="auto"/>
            </w:tcBorders>
            <w:shd w:val="clear" w:color="auto" w:fill="auto"/>
            <w:noWrap/>
            <w:vAlign w:val="center"/>
          </w:tcPr>
          <w:p w14:paraId="7C44F45F" w14:textId="0E2E2293" w:rsidR="007B6E80" w:rsidRPr="007B6E80" w:rsidRDefault="007B6E80" w:rsidP="007B6E80">
            <w:pPr>
              <w:jc w:val="center"/>
              <w:rPr>
                <w:color w:val="000000"/>
                <w:sz w:val="22"/>
              </w:rPr>
            </w:pPr>
            <w:r w:rsidRPr="007B6E80">
              <w:rPr>
                <w:color w:val="000000"/>
                <w:sz w:val="22"/>
              </w:rPr>
              <w:t>3,700</w:t>
            </w:r>
          </w:p>
        </w:tc>
        <w:tc>
          <w:tcPr>
            <w:tcW w:w="1578" w:type="dxa"/>
            <w:tcBorders>
              <w:top w:val="nil"/>
              <w:left w:val="nil"/>
              <w:bottom w:val="single" w:sz="4" w:space="0" w:color="auto"/>
              <w:right w:val="single" w:sz="4" w:space="0" w:color="auto"/>
            </w:tcBorders>
            <w:shd w:val="clear" w:color="auto" w:fill="auto"/>
            <w:noWrap/>
            <w:vAlign w:val="center"/>
          </w:tcPr>
          <w:p w14:paraId="7C5FD22D" w14:textId="1AF108BE" w:rsidR="007B6E80" w:rsidRPr="007B6E80" w:rsidRDefault="007B6E80" w:rsidP="007B6E80">
            <w:pPr>
              <w:jc w:val="center"/>
              <w:rPr>
                <w:color w:val="000000"/>
                <w:sz w:val="22"/>
              </w:rPr>
            </w:pPr>
            <w:r w:rsidRPr="007B6E80">
              <w:rPr>
                <w:color w:val="000000"/>
                <w:sz w:val="22"/>
              </w:rPr>
              <w:t>10</w:t>
            </w:r>
          </w:p>
        </w:tc>
        <w:tc>
          <w:tcPr>
            <w:tcW w:w="1578" w:type="dxa"/>
            <w:tcBorders>
              <w:top w:val="nil"/>
              <w:left w:val="nil"/>
              <w:bottom w:val="single" w:sz="4" w:space="0" w:color="auto"/>
              <w:right w:val="single" w:sz="4" w:space="0" w:color="auto"/>
            </w:tcBorders>
            <w:shd w:val="clear" w:color="auto" w:fill="auto"/>
            <w:noWrap/>
            <w:vAlign w:val="center"/>
          </w:tcPr>
          <w:p w14:paraId="030EF752" w14:textId="2BE9225D" w:rsidR="007B6E80" w:rsidRPr="007B6E80" w:rsidRDefault="007B6E80" w:rsidP="007B6E80">
            <w:pPr>
              <w:jc w:val="center"/>
              <w:rPr>
                <w:color w:val="000000"/>
                <w:sz w:val="22"/>
              </w:rPr>
            </w:pPr>
            <w:r w:rsidRPr="007B6E80">
              <w:rPr>
                <w:color w:val="000000"/>
                <w:sz w:val="22"/>
              </w:rPr>
              <w:t>10</w:t>
            </w:r>
          </w:p>
        </w:tc>
        <w:tc>
          <w:tcPr>
            <w:tcW w:w="1578" w:type="dxa"/>
            <w:tcBorders>
              <w:top w:val="nil"/>
              <w:left w:val="nil"/>
              <w:bottom w:val="single" w:sz="4" w:space="0" w:color="auto"/>
              <w:right w:val="single" w:sz="4" w:space="0" w:color="auto"/>
            </w:tcBorders>
            <w:shd w:val="clear" w:color="auto" w:fill="auto"/>
            <w:noWrap/>
            <w:vAlign w:val="center"/>
          </w:tcPr>
          <w:p w14:paraId="7032B8B6" w14:textId="29D80C40" w:rsidR="007B6E80" w:rsidRPr="007B6E80" w:rsidRDefault="007B6E80" w:rsidP="007B6E80">
            <w:pPr>
              <w:jc w:val="center"/>
              <w:rPr>
                <w:color w:val="000000"/>
                <w:sz w:val="22"/>
              </w:rPr>
            </w:pPr>
            <w:r w:rsidRPr="007B6E80">
              <w:rPr>
                <w:color w:val="000000"/>
                <w:sz w:val="22"/>
              </w:rPr>
              <w:t>0</w:t>
            </w:r>
          </w:p>
        </w:tc>
      </w:tr>
      <w:tr w:rsidR="007B6E80" w:rsidRPr="0069660B" w14:paraId="185CDF36" w14:textId="77777777" w:rsidTr="00BE1863">
        <w:trPr>
          <w:trHeight w:val="288"/>
        </w:trPr>
        <w:tc>
          <w:tcPr>
            <w:tcW w:w="1578" w:type="dxa"/>
            <w:tcBorders>
              <w:top w:val="nil"/>
              <w:left w:val="single" w:sz="4" w:space="0" w:color="auto"/>
              <w:bottom w:val="single" w:sz="4" w:space="0" w:color="auto"/>
              <w:right w:val="single" w:sz="4" w:space="0" w:color="auto"/>
            </w:tcBorders>
            <w:shd w:val="clear" w:color="auto" w:fill="auto"/>
            <w:noWrap/>
            <w:vAlign w:val="center"/>
            <w:hideMark/>
          </w:tcPr>
          <w:p w14:paraId="441400B0" w14:textId="77777777" w:rsidR="007B6E80" w:rsidRPr="00CD354B" w:rsidRDefault="007B6E80" w:rsidP="007B6E80">
            <w:pPr>
              <w:jc w:val="center"/>
              <w:rPr>
                <w:color w:val="000000"/>
                <w:sz w:val="22"/>
              </w:rPr>
            </w:pPr>
            <w:r w:rsidRPr="00CD354B">
              <w:rPr>
                <w:color w:val="000000"/>
                <w:sz w:val="22"/>
              </w:rPr>
              <w:t>2016</w:t>
            </w:r>
          </w:p>
        </w:tc>
        <w:tc>
          <w:tcPr>
            <w:tcW w:w="1578" w:type="dxa"/>
            <w:tcBorders>
              <w:top w:val="single" w:sz="4" w:space="0" w:color="auto"/>
              <w:left w:val="nil"/>
              <w:bottom w:val="single" w:sz="4" w:space="0" w:color="auto"/>
              <w:right w:val="single" w:sz="4" w:space="0" w:color="auto"/>
            </w:tcBorders>
            <w:vAlign w:val="center"/>
          </w:tcPr>
          <w:p w14:paraId="00A54D9A" w14:textId="25D2D6D0" w:rsidR="007B6E80" w:rsidRPr="00CD354B" w:rsidRDefault="007B6E80" w:rsidP="007B6E80">
            <w:pPr>
              <w:jc w:val="center"/>
              <w:rPr>
                <w:color w:val="000000"/>
                <w:sz w:val="22"/>
              </w:rPr>
            </w:pPr>
            <w:r w:rsidRPr="00CD354B">
              <w:rPr>
                <w:sz w:val="22"/>
              </w:rPr>
              <w:t>2,880</w:t>
            </w:r>
          </w:p>
        </w:tc>
        <w:tc>
          <w:tcPr>
            <w:tcW w:w="1578" w:type="dxa"/>
            <w:tcBorders>
              <w:top w:val="nil"/>
              <w:left w:val="single" w:sz="4" w:space="0" w:color="auto"/>
              <w:bottom w:val="single" w:sz="4" w:space="0" w:color="auto"/>
              <w:right w:val="single" w:sz="4" w:space="0" w:color="auto"/>
            </w:tcBorders>
            <w:shd w:val="clear" w:color="auto" w:fill="auto"/>
            <w:noWrap/>
            <w:vAlign w:val="center"/>
          </w:tcPr>
          <w:p w14:paraId="4E6B2E50" w14:textId="605AAB25" w:rsidR="007B6E80" w:rsidRPr="007B6E80" w:rsidRDefault="007B6E80" w:rsidP="007B6E80">
            <w:pPr>
              <w:jc w:val="center"/>
              <w:rPr>
                <w:color w:val="000000"/>
                <w:sz w:val="22"/>
              </w:rPr>
            </w:pPr>
            <w:r w:rsidRPr="007B6E80">
              <w:rPr>
                <w:color w:val="000000"/>
                <w:sz w:val="22"/>
              </w:rPr>
              <w:t>5,800</w:t>
            </w:r>
          </w:p>
        </w:tc>
        <w:tc>
          <w:tcPr>
            <w:tcW w:w="1578" w:type="dxa"/>
            <w:tcBorders>
              <w:top w:val="nil"/>
              <w:left w:val="nil"/>
              <w:bottom w:val="single" w:sz="4" w:space="0" w:color="auto"/>
              <w:right w:val="single" w:sz="4" w:space="0" w:color="auto"/>
            </w:tcBorders>
            <w:shd w:val="clear" w:color="auto" w:fill="auto"/>
            <w:noWrap/>
            <w:vAlign w:val="center"/>
          </w:tcPr>
          <w:p w14:paraId="00DC8CC1" w14:textId="1164979D" w:rsidR="007B6E80" w:rsidRPr="007B6E80" w:rsidRDefault="007B6E80" w:rsidP="007B6E80">
            <w:pPr>
              <w:jc w:val="center"/>
              <w:rPr>
                <w:color w:val="000000"/>
                <w:sz w:val="22"/>
              </w:rPr>
            </w:pPr>
            <w:r w:rsidRPr="007B6E80">
              <w:rPr>
                <w:color w:val="000000"/>
                <w:sz w:val="22"/>
              </w:rPr>
              <w:t>750</w:t>
            </w:r>
          </w:p>
        </w:tc>
        <w:tc>
          <w:tcPr>
            <w:tcW w:w="1578" w:type="dxa"/>
            <w:tcBorders>
              <w:top w:val="nil"/>
              <w:left w:val="nil"/>
              <w:bottom w:val="single" w:sz="4" w:space="0" w:color="auto"/>
              <w:right w:val="single" w:sz="4" w:space="0" w:color="auto"/>
            </w:tcBorders>
            <w:shd w:val="clear" w:color="auto" w:fill="auto"/>
            <w:noWrap/>
            <w:vAlign w:val="center"/>
          </w:tcPr>
          <w:p w14:paraId="28108BDA" w14:textId="5B192E76" w:rsidR="007B6E80" w:rsidRPr="007B6E80" w:rsidRDefault="007B6E80" w:rsidP="007B6E80">
            <w:pPr>
              <w:jc w:val="center"/>
              <w:rPr>
                <w:color w:val="000000"/>
                <w:sz w:val="22"/>
              </w:rPr>
            </w:pPr>
            <w:r w:rsidRPr="007B6E80">
              <w:rPr>
                <w:color w:val="000000"/>
                <w:sz w:val="22"/>
              </w:rPr>
              <w:t>650</w:t>
            </w:r>
          </w:p>
        </w:tc>
        <w:tc>
          <w:tcPr>
            <w:tcW w:w="1578" w:type="dxa"/>
            <w:tcBorders>
              <w:top w:val="nil"/>
              <w:left w:val="nil"/>
              <w:bottom w:val="single" w:sz="4" w:space="0" w:color="auto"/>
              <w:right w:val="single" w:sz="4" w:space="0" w:color="auto"/>
            </w:tcBorders>
            <w:shd w:val="clear" w:color="auto" w:fill="auto"/>
            <w:noWrap/>
            <w:vAlign w:val="center"/>
          </w:tcPr>
          <w:p w14:paraId="1DD1E578" w14:textId="70184932" w:rsidR="007B6E80" w:rsidRPr="007B6E80" w:rsidRDefault="007B6E80" w:rsidP="007B6E80">
            <w:pPr>
              <w:jc w:val="center"/>
              <w:rPr>
                <w:color w:val="000000"/>
                <w:sz w:val="22"/>
              </w:rPr>
            </w:pPr>
            <w:r w:rsidRPr="007B6E80">
              <w:rPr>
                <w:color w:val="000000"/>
                <w:sz w:val="22"/>
              </w:rPr>
              <w:t>220</w:t>
            </w:r>
          </w:p>
        </w:tc>
      </w:tr>
      <w:tr w:rsidR="007B6E80" w:rsidRPr="0069660B" w14:paraId="7B3B9FFE" w14:textId="77777777" w:rsidTr="00BE1863">
        <w:trPr>
          <w:trHeight w:val="288"/>
        </w:trPr>
        <w:tc>
          <w:tcPr>
            <w:tcW w:w="1578" w:type="dxa"/>
            <w:tcBorders>
              <w:top w:val="nil"/>
              <w:left w:val="single" w:sz="4" w:space="0" w:color="auto"/>
              <w:bottom w:val="single" w:sz="4" w:space="0" w:color="auto"/>
              <w:right w:val="single" w:sz="4" w:space="0" w:color="auto"/>
            </w:tcBorders>
            <w:shd w:val="clear" w:color="auto" w:fill="auto"/>
            <w:noWrap/>
            <w:vAlign w:val="center"/>
            <w:hideMark/>
          </w:tcPr>
          <w:p w14:paraId="3DEBD5B3" w14:textId="77777777" w:rsidR="007B6E80" w:rsidRPr="00CD354B" w:rsidRDefault="007B6E80" w:rsidP="007B6E80">
            <w:pPr>
              <w:jc w:val="center"/>
              <w:rPr>
                <w:color w:val="000000"/>
                <w:sz w:val="22"/>
              </w:rPr>
            </w:pPr>
            <w:r w:rsidRPr="00CD354B">
              <w:rPr>
                <w:color w:val="000000"/>
                <w:sz w:val="22"/>
              </w:rPr>
              <w:t>2017</w:t>
            </w:r>
          </w:p>
        </w:tc>
        <w:tc>
          <w:tcPr>
            <w:tcW w:w="1578" w:type="dxa"/>
            <w:tcBorders>
              <w:top w:val="single" w:sz="4" w:space="0" w:color="auto"/>
              <w:left w:val="nil"/>
              <w:bottom w:val="single" w:sz="4" w:space="0" w:color="auto"/>
              <w:right w:val="single" w:sz="4" w:space="0" w:color="auto"/>
            </w:tcBorders>
            <w:vAlign w:val="center"/>
          </w:tcPr>
          <w:p w14:paraId="43BEF2A0" w14:textId="2F2C4310" w:rsidR="007B6E80" w:rsidRPr="00CD354B" w:rsidRDefault="007B6E80" w:rsidP="007B6E80">
            <w:pPr>
              <w:jc w:val="center"/>
              <w:rPr>
                <w:color w:val="000000"/>
                <w:sz w:val="22"/>
              </w:rPr>
            </w:pPr>
            <w:r w:rsidRPr="00CD354B">
              <w:rPr>
                <w:sz w:val="22"/>
              </w:rPr>
              <w:t>11,524.3</w:t>
            </w:r>
          </w:p>
        </w:tc>
        <w:tc>
          <w:tcPr>
            <w:tcW w:w="1578" w:type="dxa"/>
            <w:tcBorders>
              <w:top w:val="nil"/>
              <w:left w:val="single" w:sz="4" w:space="0" w:color="auto"/>
              <w:bottom w:val="single" w:sz="4" w:space="0" w:color="auto"/>
              <w:right w:val="single" w:sz="4" w:space="0" w:color="auto"/>
            </w:tcBorders>
            <w:shd w:val="clear" w:color="auto" w:fill="auto"/>
            <w:noWrap/>
            <w:vAlign w:val="center"/>
          </w:tcPr>
          <w:p w14:paraId="1B720344" w14:textId="6EBCE551" w:rsidR="007B6E80" w:rsidRPr="007B6E80" w:rsidRDefault="007B6E80" w:rsidP="007B6E80">
            <w:pPr>
              <w:jc w:val="center"/>
              <w:rPr>
                <w:color w:val="000000"/>
                <w:sz w:val="22"/>
              </w:rPr>
            </w:pPr>
            <w:r w:rsidRPr="007B6E80">
              <w:rPr>
                <w:color w:val="000000"/>
                <w:sz w:val="22"/>
              </w:rPr>
              <w:t>7,000</w:t>
            </w:r>
          </w:p>
        </w:tc>
        <w:tc>
          <w:tcPr>
            <w:tcW w:w="1578" w:type="dxa"/>
            <w:tcBorders>
              <w:top w:val="nil"/>
              <w:left w:val="nil"/>
              <w:bottom w:val="single" w:sz="4" w:space="0" w:color="auto"/>
              <w:right w:val="single" w:sz="4" w:space="0" w:color="auto"/>
            </w:tcBorders>
            <w:shd w:val="clear" w:color="auto" w:fill="auto"/>
            <w:noWrap/>
            <w:vAlign w:val="center"/>
          </w:tcPr>
          <w:p w14:paraId="7FF41194" w14:textId="5FB652D4" w:rsidR="007B6E80" w:rsidRPr="007B6E80" w:rsidRDefault="007B6E80" w:rsidP="007B6E80">
            <w:pPr>
              <w:jc w:val="center"/>
              <w:rPr>
                <w:color w:val="000000"/>
                <w:sz w:val="22"/>
              </w:rPr>
            </w:pPr>
            <w:r w:rsidRPr="007B6E80">
              <w:rPr>
                <w:color w:val="000000"/>
                <w:sz w:val="22"/>
              </w:rPr>
              <w:t>1,500</w:t>
            </w:r>
          </w:p>
        </w:tc>
        <w:tc>
          <w:tcPr>
            <w:tcW w:w="1578" w:type="dxa"/>
            <w:tcBorders>
              <w:top w:val="nil"/>
              <w:left w:val="nil"/>
              <w:bottom w:val="single" w:sz="4" w:space="0" w:color="auto"/>
              <w:right w:val="single" w:sz="4" w:space="0" w:color="auto"/>
            </w:tcBorders>
            <w:shd w:val="clear" w:color="auto" w:fill="auto"/>
            <w:noWrap/>
            <w:vAlign w:val="center"/>
          </w:tcPr>
          <w:p w14:paraId="51535EB7" w14:textId="70947956" w:rsidR="007B6E80" w:rsidRPr="007B6E80" w:rsidRDefault="007B6E80" w:rsidP="007B6E80">
            <w:pPr>
              <w:jc w:val="center"/>
              <w:rPr>
                <w:color w:val="000000"/>
                <w:sz w:val="22"/>
              </w:rPr>
            </w:pPr>
            <w:r w:rsidRPr="007B6E80">
              <w:rPr>
                <w:color w:val="000000"/>
                <w:sz w:val="22"/>
              </w:rPr>
              <w:t>1,100</w:t>
            </w:r>
          </w:p>
        </w:tc>
        <w:tc>
          <w:tcPr>
            <w:tcW w:w="1578" w:type="dxa"/>
            <w:tcBorders>
              <w:top w:val="nil"/>
              <w:left w:val="nil"/>
              <w:bottom w:val="single" w:sz="4" w:space="0" w:color="auto"/>
              <w:right w:val="single" w:sz="4" w:space="0" w:color="auto"/>
            </w:tcBorders>
            <w:shd w:val="clear" w:color="auto" w:fill="auto"/>
            <w:noWrap/>
            <w:vAlign w:val="center"/>
          </w:tcPr>
          <w:p w14:paraId="06656761" w14:textId="0AFFCEC8" w:rsidR="007B6E80" w:rsidRPr="007B6E80" w:rsidRDefault="007B6E80" w:rsidP="007B6E80">
            <w:pPr>
              <w:jc w:val="center"/>
              <w:rPr>
                <w:color w:val="000000"/>
                <w:sz w:val="22"/>
              </w:rPr>
            </w:pPr>
            <w:r w:rsidRPr="007B6E80">
              <w:rPr>
                <w:color w:val="000000"/>
                <w:sz w:val="22"/>
              </w:rPr>
              <w:t>610</w:t>
            </w:r>
          </w:p>
        </w:tc>
      </w:tr>
      <w:tr w:rsidR="007B6E80" w:rsidRPr="0069660B" w14:paraId="3C6F980F" w14:textId="77777777" w:rsidTr="00BE1863">
        <w:trPr>
          <w:trHeight w:val="288"/>
        </w:trPr>
        <w:tc>
          <w:tcPr>
            <w:tcW w:w="1578" w:type="dxa"/>
            <w:tcBorders>
              <w:top w:val="nil"/>
              <w:left w:val="single" w:sz="4" w:space="0" w:color="auto"/>
              <w:bottom w:val="single" w:sz="4" w:space="0" w:color="auto"/>
              <w:right w:val="single" w:sz="4" w:space="0" w:color="auto"/>
            </w:tcBorders>
            <w:shd w:val="clear" w:color="auto" w:fill="auto"/>
            <w:noWrap/>
            <w:vAlign w:val="center"/>
          </w:tcPr>
          <w:p w14:paraId="7270BD2A" w14:textId="4E5D4409" w:rsidR="007B6E80" w:rsidRPr="00CD354B" w:rsidRDefault="007B6E80" w:rsidP="007B6E80">
            <w:pPr>
              <w:jc w:val="center"/>
              <w:rPr>
                <w:color w:val="000000"/>
                <w:sz w:val="22"/>
              </w:rPr>
            </w:pPr>
            <w:r w:rsidRPr="00CD354B">
              <w:rPr>
                <w:color w:val="000000"/>
                <w:sz w:val="22"/>
              </w:rPr>
              <w:t>2018</w:t>
            </w:r>
          </w:p>
        </w:tc>
        <w:tc>
          <w:tcPr>
            <w:tcW w:w="1578" w:type="dxa"/>
            <w:tcBorders>
              <w:top w:val="single" w:sz="4" w:space="0" w:color="auto"/>
              <w:left w:val="nil"/>
              <w:bottom w:val="single" w:sz="4" w:space="0" w:color="auto"/>
              <w:right w:val="single" w:sz="4" w:space="0" w:color="auto"/>
            </w:tcBorders>
            <w:vAlign w:val="center"/>
          </w:tcPr>
          <w:p w14:paraId="26803E25" w14:textId="094E35D0" w:rsidR="007B6E80" w:rsidRPr="00CD354B" w:rsidRDefault="007B6E80" w:rsidP="007B6E80">
            <w:pPr>
              <w:jc w:val="center"/>
              <w:rPr>
                <w:color w:val="000000"/>
                <w:sz w:val="22"/>
              </w:rPr>
            </w:pPr>
            <w:r w:rsidRPr="00CD354B">
              <w:rPr>
                <w:sz w:val="22"/>
              </w:rPr>
              <w:t>14,915.5</w:t>
            </w:r>
          </w:p>
        </w:tc>
        <w:tc>
          <w:tcPr>
            <w:tcW w:w="1578" w:type="dxa"/>
            <w:tcBorders>
              <w:top w:val="nil"/>
              <w:left w:val="single" w:sz="4" w:space="0" w:color="auto"/>
              <w:bottom w:val="single" w:sz="4" w:space="0" w:color="auto"/>
              <w:right w:val="single" w:sz="4" w:space="0" w:color="auto"/>
            </w:tcBorders>
            <w:shd w:val="clear" w:color="auto" w:fill="auto"/>
            <w:noWrap/>
            <w:vAlign w:val="center"/>
          </w:tcPr>
          <w:p w14:paraId="6A15E3F9" w14:textId="12AC8FEC" w:rsidR="007B6E80" w:rsidRPr="007B6E80" w:rsidRDefault="007B6E80" w:rsidP="007B6E80">
            <w:pPr>
              <w:jc w:val="center"/>
              <w:rPr>
                <w:color w:val="000000"/>
                <w:sz w:val="22"/>
                <w:highlight w:val="yellow"/>
              </w:rPr>
            </w:pPr>
            <w:r w:rsidRPr="007B6E80">
              <w:rPr>
                <w:color w:val="000000"/>
                <w:sz w:val="22"/>
              </w:rPr>
              <w:t>8,200</w:t>
            </w:r>
          </w:p>
        </w:tc>
        <w:tc>
          <w:tcPr>
            <w:tcW w:w="1578" w:type="dxa"/>
            <w:tcBorders>
              <w:top w:val="nil"/>
              <w:left w:val="nil"/>
              <w:bottom w:val="single" w:sz="4" w:space="0" w:color="auto"/>
              <w:right w:val="single" w:sz="4" w:space="0" w:color="auto"/>
            </w:tcBorders>
            <w:shd w:val="clear" w:color="auto" w:fill="auto"/>
            <w:noWrap/>
            <w:vAlign w:val="center"/>
          </w:tcPr>
          <w:p w14:paraId="64D7C110" w14:textId="011A0C3B" w:rsidR="007B6E80" w:rsidRPr="007B6E80" w:rsidRDefault="007B6E80" w:rsidP="007B6E80">
            <w:pPr>
              <w:jc w:val="center"/>
              <w:rPr>
                <w:color w:val="000000"/>
                <w:sz w:val="22"/>
                <w:highlight w:val="yellow"/>
              </w:rPr>
            </w:pPr>
            <w:r w:rsidRPr="007B6E80">
              <w:rPr>
                <w:color w:val="000000"/>
                <w:sz w:val="22"/>
              </w:rPr>
              <w:t>2,000</w:t>
            </w:r>
          </w:p>
        </w:tc>
        <w:tc>
          <w:tcPr>
            <w:tcW w:w="1578" w:type="dxa"/>
            <w:tcBorders>
              <w:top w:val="nil"/>
              <w:left w:val="nil"/>
              <w:bottom w:val="single" w:sz="4" w:space="0" w:color="auto"/>
              <w:right w:val="single" w:sz="4" w:space="0" w:color="auto"/>
            </w:tcBorders>
            <w:shd w:val="clear" w:color="auto" w:fill="auto"/>
            <w:noWrap/>
            <w:vAlign w:val="center"/>
          </w:tcPr>
          <w:p w14:paraId="44167B72" w14:textId="5F53EF73" w:rsidR="007B6E80" w:rsidRPr="007B6E80" w:rsidRDefault="007B6E80" w:rsidP="007B6E80">
            <w:pPr>
              <w:jc w:val="center"/>
              <w:rPr>
                <w:color w:val="000000"/>
                <w:sz w:val="22"/>
                <w:highlight w:val="yellow"/>
              </w:rPr>
            </w:pPr>
            <w:r w:rsidRPr="007B6E80">
              <w:rPr>
                <w:color w:val="000000"/>
                <w:sz w:val="22"/>
              </w:rPr>
              <w:t>1,700</w:t>
            </w:r>
          </w:p>
        </w:tc>
        <w:tc>
          <w:tcPr>
            <w:tcW w:w="1578" w:type="dxa"/>
            <w:tcBorders>
              <w:top w:val="nil"/>
              <w:left w:val="nil"/>
              <w:bottom w:val="single" w:sz="4" w:space="0" w:color="auto"/>
              <w:right w:val="single" w:sz="4" w:space="0" w:color="auto"/>
            </w:tcBorders>
            <w:shd w:val="clear" w:color="auto" w:fill="auto"/>
            <w:noWrap/>
            <w:vAlign w:val="center"/>
          </w:tcPr>
          <w:p w14:paraId="2D8AAF30" w14:textId="3215FB93" w:rsidR="007B6E80" w:rsidRPr="007B6E80" w:rsidRDefault="007B6E80" w:rsidP="007B6E80">
            <w:pPr>
              <w:jc w:val="center"/>
              <w:rPr>
                <w:color w:val="000000"/>
                <w:sz w:val="22"/>
                <w:highlight w:val="yellow"/>
              </w:rPr>
            </w:pPr>
            <w:r w:rsidRPr="007B6E80">
              <w:rPr>
                <w:color w:val="000000"/>
                <w:sz w:val="22"/>
              </w:rPr>
              <w:t>1,000</w:t>
            </w:r>
          </w:p>
        </w:tc>
      </w:tr>
      <w:tr w:rsidR="007B6E80" w:rsidRPr="0069660B" w14:paraId="00D27483" w14:textId="77777777" w:rsidTr="00BE1863">
        <w:trPr>
          <w:trHeight w:val="288"/>
        </w:trPr>
        <w:tc>
          <w:tcPr>
            <w:tcW w:w="1578"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14:paraId="3975D679" w14:textId="77777777" w:rsidR="007B6E80" w:rsidRPr="00CD354B" w:rsidRDefault="007B6E80" w:rsidP="007B6E80">
            <w:pPr>
              <w:jc w:val="center"/>
              <w:rPr>
                <w:b/>
                <w:bCs/>
                <w:color w:val="000000"/>
                <w:sz w:val="22"/>
              </w:rPr>
            </w:pPr>
            <w:r w:rsidRPr="00CD354B">
              <w:rPr>
                <w:b/>
                <w:bCs/>
                <w:color w:val="000000"/>
                <w:sz w:val="22"/>
              </w:rPr>
              <w:t>Total</w:t>
            </w:r>
          </w:p>
        </w:tc>
        <w:tc>
          <w:tcPr>
            <w:tcW w:w="1578"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4ED89D4" w14:textId="38E469A8" w:rsidR="007B6E80" w:rsidRPr="00CD354B" w:rsidRDefault="007B6E80" w:rsidP="007B6E80">
            <w:pPr>
              <w:jc w:val="center"/>
              <w:rPr>
                <w:b/>
                <w:color w:val="000000"/>
                <w:sz w:val="22"/>
              </w:rPr>
            </w:pPr>
            <w:r w:rsidRPr="00CD354B">
              <w:rPr>
                <w:b/>
                <w:sz w:val="22"/>
              </w:rPr>
              <w:t>44,100</w:t>
            </w:r>
          </w:p>
        </w:tc>
        <w:tc>
          <w:tcPr>
            <w:tcW w:w="1578"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14:paraId="78B1BBE4" w14:textId="106111D1" w:rsidR="007B6E80" w:rsidRPr="007B6E80" w:rsidRDefault="007B6E80" w:rsidP="007B6E80">
            <w:pPr>
              <w:jc w:val="center"/>
              <w:rPr>
                <w:b/>
                <w:bCs/>
                <w:color w:val="000000"/>
                <w:sz w:val="22"/>
              </w:rPr>
            </w:pPr>
            <w:r w:rsidRPr="007B6E80">
              <w:rPr>
                <w:b/>
                <w:bCs/>
                <w:color w:val="000000"/>
                <w:sz w:val="22"/>
              </w:rPr>
              <w:t>24,600</w:t>
            </w:r>
          </w:p>
        </w:tc>
        <w:tc>
          <w:tcPr>
            <w:tcW w:w="1578" w:type="dxa"/>
            <w:tcBorders>
              <w:top w:val="nil"/>
              <w:left w:val="nil"/>
              <w:bottom w:val="single" w:sz="4" w:space="0" w:color="auto"/>
              <w:right w:val="single" w:sz="4" w:space="0" w:color="auto"/>
            </w:tcBorders>
            <w:shd w:val="clear" w:color="auto" w:fill="BFBFBF" w:themeFill="background1" w:themeFillShade="BF"/>
            <w:noWrap/>
            <w:vAlign w:val="center"/>
          </w:tcPr>
          <w:p w14:paraId="55821529" w14:textId="76F5497A" w:rsidR="007B6E80" w:rsidRPr="007B6E80" w:rsidRDefault="007B6E80" w:rsidP="007B6E80">
            <w:pPr>
              <w:jc w:val="center"/>
              <w:rPr>
                <w:b/>
                <w:bCs/>
                <w:color w:val="000000"/>
                <w:sz w:val="22"/>
              </w:rPr>
            </w:pPr>
            <w:r w:rsidRPr="007B6E80">
              <w:rPr>
                <w:b/>
                <w:bCs/>
                <w:color w:val="000000"/>
                <w:sz w:val="22"/>
              </w:rPr>
              <w:t>4,200</w:t>
            </w:r>
          </w:p>
        </w:tc>
        <w:tc>
          <w:tcPr>
            <w:tcW w:w="1578" w:type="dxa"/>
            <w:tcBorders>
              <w:top w:val="nil"/>
              <w:left w:val="nil"/>
              <w:bottom w:val="single" w:sz="4" w:space="0" w:color="auto"/>
              <w:right w:val="single" w:sz="4" w:space="0" w:color="auto"/>
            </w:tcBorders>
            <w:shd w:val="clear" w:color="auto" w:fill="BFBFBF" w:themeFill="background1" w:themeFillShade="BF"/>
            <w:noWrap/>
            <w:vAlign w:val="center"/>
          </w:tcPr>
          <w:p w14:paraId="7A729F22" w14:textId="3B10C342" w:rsidR="007B6E80" w:rsidRPr="007B6E80" w:rsidRDefault="007B6E80" w:rsidP="007B6E80">
            <w:pPr>
              <w:jc w:val="center"/>
              <w:rPr>
                <w:b/>
                <w:bCs/>
                <w:color w:val="000000"/>
                <w:sz w:val="22"/>
              </w:rPr>
            </w:pPr>
            <w:r w:rsidRPr="007B6E80">
              <w:rPr>
                <w:b/>
                <w:bCs/>
                <w:color w:val="000000"/>
                <w:sz w:val="22"/>
              </w:rPr>
              <w:t>3,600</w:t>
            </w:r>
          </w:p>
        </w:tc>
        <w:tc>
          <w:tcPr>
            <w:tcW w:w="1578" w:type="dxa"/>
            <w:tcBorders>
              <w:top w:val="nil"/>
              <w:left w:val="nil"/>
              <w:bottom w:val="single" w:sz="4" w:space="0" w:color="auto"/>
              <w:right w:val="single" w:sz="4" w:space="0" w:color="auto"/>
            </w:tcBorders>
            <w:shd w:val="clear" w:color="auto" w:fill="BFBFBF" w:themeFill="background1" w:themeFillShade="BF"/>
            <w:noWrap/>
            <w:vAlign w:val="center"/>
          </w:tcPr>
          <w:p w14:paraId="1A4FC202" w14:textId="0D1F9139" w:rsidR="007B6E80" w:rsidRPr="007B6E80" w:rsidRDefault="007B6E80" w:rsidP="007B6E80">
            <w:pPr>
              <w:jc w:val="center"/>
              <w:rPr>
                <w:b/>
                <w:bCs/>
                <w:color w:val="000000"/>
                <w:sz w:val="22"/>
              </w:rPr>
            </w:pPr>
            <w:r w:rsidRPr="007B6E80">
              <w:rPr>
                <w:b/>
                <w:bCs/>
                <w:color w:val="000000"/>
                <w:sz w:val="22"/>
              </w:rPr>
              <w:t>1,800</w:t>
            </w:r>
          </w:p>
        </w:tc>
      </w:tr>
      <w:tr w:rsidR="007B6E80" w:rsidRPr="0069660B" w14:paraId="29AACD82" w14:textId="77777777" w:rsidTr="00BE1863">
        <w:trPr>
          <w:trHeight w:val="288"/>
        </w:trPr>
        <w:tc>
          <w:tcPr>
            <w:tcW w:w="1578"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14:paraId="24CC7865" w14:textId="77777777" w:rsidR="007B6E80" w:rsidRPr="00CD354B" w:rsidRDefault="007B6E80" w:rsidP="007B6E80">
            <w:pPr>
              <w:jc w:val="center"/>
              <w:rPr>
                <w:b/>
                <w:bCs/>
                <w:color w:val="000000"/>
                <w:sz w:val="22"/>
              </w:rPr>
            </w:pPr>
            <w:r w:rsidRPr="00CD354B">
              <w:rPr>
                <w:b/>
                <w:bCs/>
                <w:color w:val="000000"/>
                <w:sz w:val="22"/>
              </w:rPr>
              <w:t>Average</w:t>
            </w:r>
          </w:p>
        </w:tc>
        <w:tc>
          <w:tcPr>
            <w:tcW w:w="1578"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6011BC7C" w14:textId="7EA94B5B" w:rsidR="007B6E80" w:rsidRPr="00CD354B" w:rsidRDefault="007B6E80" w:rsidP="007B6E80">
            <w:pPr>
              <w:jc w:val="center"/>
              <w:rPr>
                <w:b/>
                <w:bCs/>
                <w:color w:val="000000"/>
                <w:sz w:val="22"/>
              </w:rPr>
            </w:pPr>
            <w:r w:rsidRPr="00CD354B">
              <w:rPr>
                <w:b/>
                <w:sz w:val="22"/>
              </w:rPr>
              <w:t>11,000</w:t>
            </w:r>
          </w:p>
        </w:tc>
        <w:tc>
          <w:tcPr>
            <w:tcW w:w="1578"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14:paraId="53337403" w14:textId="0F12EDCF" w:rsidR="007B6E80" w:rsidRPr="007B6E80" w:rsidRDefault="007B6E80" w:rsidP="007B6E80">
            <w:pPr>
              <w:jc w:val="center"/>
              <w:rPr>
                <w:b/>
                <w:bCs/>
                <w:color w:val="000000"/>
                <w:sz w:val="22"/>
              </w:rPr>
            </w:pPr>
            <w:r w:rsidRPr="007B6E80">
              <w:rPr>
                <w:b/>
                <w:bCs/>
                <w:color w:val="000000"/>
                <w:sz w:val="22"/>
              </w:rPr>
              <w:t>6,200</w:t>
            </w:r>
          </w:p>
        </w:tc>
        <w:tc>
          <w:tcPr>
            <w:tcW w:w="1578" w:type="dxa"/>
            <w:tcBorders>
              <w:top w:val="nil"/>
              <w:left w:val="nil"/>
              <w:bottom w:val="single" w:sz="4" w:space="0" w:color="auto"/>
              <w:right w:val="single" w:sz="4" w:space="0" w:color="auto"/>
            </w:tcBorders>
            <w:shd w:val="clear" w:color="auto" w:fill="BFBFBF" w:themeFill="background1" w:themeFillShade="BF"/>
            <w:noWrap/>
            <w:vAlign w:val="center"/>
          </w:tcPr>
          <w:p w14:paraId="77F67AB4" w14:textId="6439D738" w:rsidR="007B6E80" w:rsidRPr="007B6E80" w:rsidRDefault="007B6E80" w:rsidP="007B6E80">
            <w:pPr>
              <w:jc w:val="center"/>
              <w:rPr>
                <w:b/>
                <w:bCs/>
                <w:color w:val="000000"/>
                <w:sz w:val="22"/>
              </w:rPr>
            </w:pPr>
            <w:r w:rsidRPr="007B6E80">
              <w:rPr>
                <w:b/>
                <w:bCs/>
                <w:color w:val="000000"/>
                <w:sz w:val="22"/>
              </w:rPr>
              <w:t>1,100</w:t>
            </w:r>
          </w:p>
        </w:tc>
        <w:tc>
          <w:tcPr>
            <w:tcW w:w="1578" w:type="dxa"/>
            <w:tcBorders>
              <w:top w:val="nil"/>
              <w:left w:val="nil"/>
              <w:bottom w:val="single" w:sz="4" w:space="0" w:color="auto"/>
              <w:right w:val="single" w:sz="4" w:space="0" w:color="auto"/>
            </w:tcBorders>
            <w:shd w:val="clear" w:color="auto" w:fill="BFBFBF" w:themeFill="background1" w:themeFillShade="BF"/>
            <w:noWrap/>
            <w:vAlign w:val="center"/>
          </w:tcPr>
          <w:p w14:paraId="45CE4B38" w14:textId="1A0261F4" w:rsidR="007B6E80" w:rsidRPr="007B6E80" w:rsidRDefault="007B6E80" w:rsidP="007B6E80">
            <w:pPr>
              <w:jc w:val="center"/>
              <w:rPr>
                <w:b/>
                <w:bCs/>
                <w:color w:val="000000"/>
                <w:sz w:val="22"/>
              </w:rPr>
            </w:pPr>
            <w:r w:rsidRPr="007B6E80">
              <w:rPr>
                <w:b/>
                <w:bCs/>
                <w:color w:val="000000"/>
                <w:sz w:val="22"/>
              </w:rPr>
              <w:t>890</w:t>
            </w:r>
          </w:p>
        </w:tc>
        <w:tc>
          <w:tcPr>
            <w:tcW w:w="1578" w:type="dxa"/>
            <w:tcBorders>
              <w:top w:val="nil"/>
              <w:left w:val="nil"/>
              <w:bottom w:val="single" w:sz="4" w:space="0" w:color="auto"/>
              <w:right w:val="single" w:sz="4" w:space="0" w:color="auto"/>
            </w:tcBorders>
            <w:shd w:val="clear" w:color="auto" w:fill="BFBFBF" w:themeFill="background1" w:themeFillShade="BF"/>
            <w:noWrap/>
            <w:vAlign w:val="center"/>
          </w:tcPr>
          <w:p w14:paraId="162878B1" w14:textId="6874829D" w:rsidR="007B6E80" w:rsidRPr="007B6E80" w:rsidRDefault="007B6E80" w:rsidP="007B6E80">
            <w:pPr>
              <w:jc w:val="center"/>
              <w:rPr>
                <w:b/>
                <w:bCs/>
                <w:color w:val="000000"/>
                <w:sz w:val="22"/>
              </w:rPr>
            </w:pPr>
            <w:r w:rsidRPr="007B6E80">
              <w:rPr>
                <w:b/>
                <w:bCs/>
                <w:color w:val="000000"/>
                <w:sz w:val="22"/>
              </w:rPr>
              <w:t>460</w:t>
            </w:r>
          </w:p>
        </w:tc>
      </w:tr>
    </w:tbl>
    <w:p w14:paraId="50EA1CD4" w14:textId="5B5BD05A" w:rsidR="005D531E" w:rsidRDefault="004446AA" w:rsidP="004446AA">
      <w:pPr>
        <w:rPr>
          <w:sz w:val="20"/>
          <w:szCs w:val="20"/>
        </w:rPr>
      </w:pPr>
      <w:r w:rsidRPr="006A2D64">
        <w:rPr>
          <w:sz w:val="20"/>
          <w:szCs w:val="20"/>
          <w:vertAlign w:val="superscript"/>
        </w:rPr>
        <w:t>1</w:t>
      </w:r>
      <w:r w:rsidRPr="006A2D64">
        <w:rPr>
          <w:sz w:val="20"/>
          <w:szCs w:val="20"/>
        </w:rPr>
        <w:t xml:space="preserve"> </w:t>
      </w:r>
      <w:r w:rsidR="005D531E">
        <w:rPr>
          <w:sz w:val="18"/>
          <w:szCs w:val="18"/>
        </w:rPr>
        <w:t>Annual values for Invoiced Diversions are exact, all other values are rounded.</w:t>
      </w:r>
    </w:p>
    <w:p w14:paraId="189AB857" w14:textId="37C3BEDA" w:rsidR="004446AA" w:rsidRPr="006A2D64" w:rsidRDefault="005D531E" w:rsidP="004446AA">
      <w:pPr>
        <w:rPr>
          <w:sz w:val="20"/>
          <w:szCs w:val="20"/>
        </w:rPr>
      </w:pPr>
      <w:r w:rsidRPr="005D531E">
        <w:rPr>
          <w:sz w:val="20"/>
          <w:szCs w:val="20"/>
          <w:vertAlign w:val="superscript"/>
        </w:rPr>
        <w:t>2</w:t>
      </w:r>
      <w:r>
        <w:rPr>
          <w:sz w:val="20"/>
          <w:szCs w:val="20"/>
        </w:rPr>
        <w:t xml:space="preserve"> </w:t>
      </w:r>
      <w:r w:rsidR="004446AA" w:rsidRPr="006A2D64">
        <w:rPr>
          <w:sz w:val="20"/>
          <w:szCs w:val="20"/>
        </w:rPr>
        <w:t xml:space="preserve">Estimated </w:t>
      </w:r>
      <w:r w:rsidR="00CA5D2C" w:rsidRPr="006A2D64">
        <w:rPr>
          <w:sz w:val="20"/>
          <w:szCs w:val="20"/>
        </w:rPr>
        <w:t>amounts</w:t>
      </w:r>
      <w:r w:rsidR="004446AA" w:rsidRPr="006A2D64">
        <w:rPr>
          <w:sz w:val="20"/>
          <w:szCs w:val="20"/>
        </w:rPr>
        <w:t xml:space="preserve"> recharged into the aquifer.</w:t>
      </w:r>
    </w:p>
    <w:p w14:paraId="029E995B" w14:textId="3575DB8A" w:rsidR="004446AA" w:rsidRPr="006A2D64" w:rsidRDefault="005D531E" w:rsidP="004446AA">
      <w:pPr>
        <w:rPr>
          <w:sz w:val="20"/>
          <w:szCs w:val="20"/>
        </w:rPr>
      </w:pPr>
      <w:r>
        <w:rPr>
          <w:sz w:val="20"/>
          <w:szCs w:val="20"/>
          <w:vertAlign w:val="superscript"/>
        </w:rPr>
        <w:t>3</w:t>
      </w:r>
      <w:r w:rsidR="004446AA" w:rsidRPr="006A2D64">
        <w:rPr>
          <w:sz w:val="20"/>
          <w:szCs w:val="20"/>
        </w:rPr>
        <w:t xml:space="preserve"> Amount accreting to the river upstream of Overton, NE as the recharge slowly moves in the aquifer to the river.  </w:t>
      </w:r>
    </w:p>
    <w:p w14:paraId="196DF0EF" w14:textId="504EEF63" w:rsidR="004446AA" w:rsidRPr="006A2D64" w:rsidRDefault="005D531E" w:rsidP="004446AA">
      <w:pPr>
        <w:rPr>
          <w:sz w:val="20"/>
          <w:szCs w:val="20"/>
        </w:rPr>
      </w:pPr>
      <w:r>
        <w:rPr>
          <w:sz w:val="20"/>
          <w:szCs w:val="20"/>
          <w:vertAlign w:val="superscript"/>
        </w:rPr>
        <w:t>4</w:t>
      </w:r>
      <w:r w:rsidR="004446AA" w:rsidRPr="006A2D64">
        <w:rPr>
          <w:sz w:val="20"/>
          <w:szCs w:val="20"/>
          <w:vertAlign w:val="superscript"/>
        </w:rPr>
        <w:t xml:space="preserve"> </w:t>
      </w:r>
      <w:r w:rsidR="004446AA" w:rsidRPr="006A2D64">
        <w:rPr>
          <w:sz w:val="20"/>
          <w:szCs w:val="20"/>
        </w:rPr>
        <w:t>Accounts for transit losses between the location of river accretions to Grand Island.</w:t>
      </w:r>
    </w:p>
    <w:p w14:paraId="7C6724EB" w14:textId="39723E8A" w:rsidR="006A2D64" w:rsidRPr="006A2D64" w:rsidRDefault="005D531E" w:rsidP="004446AA">
      <w:pPr>
        <w:rPr>
          <w:sz w:val="20"/>
          <w:szCs w:val="20"/>
        </w:rPr>
      </w:pPr>
      <w:r>
        <w:rPr>
          <w:sz w:val="20"/>
          <w:szCs w:val="20"/>
          <w:vertAlign w:val="superscript"/>
        </w:rPr>
        <w:t>5</w:t>
      </w:r>
      <w:r w:rsidR="004446AA" w:rsidRPr="006A2D64">
        <w:rPr>
          <w:sz w:val="20"/>
          <w:szCs w:val="20"/>
        </w:rPr>
        <w:t xml:space="preserve"> Deficit reductions are calculated using real time hydrologic conditions.</w:t>
      </w:r>
    </w:p>
    <w:p w14:paraId="41D2931B" w14:textId="77777777" w:rsidR="00CD354B" w:rsidRDefault="00CD354B" w:rsidP="004446AA">
      <w:pPr>
        <w:rPr>
          <w:szCs w:val="24"/>
        </w:rPr>
      </w:pPr>
    </w:p>
    <w:p w14:paraId="7720986B" w14:textId="2A35A46F" w:rsidR="00B03DC0" w:rsidRDefault="006A2D64" w:rsidP="004446AA">
      <w:pPr>
        <w:rPr>
          <w:szCs w:val="24"/>
        </w:rPr>
      </w:pPr>
      <w:r>
        <w:rPr>
          <w:szCs w:val="24"/>
        </w:rPr>
        <w:t xml:space="preserve">Of the 44,100 AF diverted into Elwood Reservoir </w:t>
      </w:r>
      <w:r w:rsidR="006B53D0">
        <w:rPr>
          <w:szCs w:val="24"/>
        </w:rPr>
        <w:t xml:space="preserve">for </w:t>
      </w:r>
      <w:r w:rsidR="00460222">
        <w:rPr>
          <w:szCs w:val="24"/>
        </w:rPr>
        <w:t xml:space="preserve">the </w:t>
      </w:r>
      <w:r w:rsidR="00596B7F">
        <w:rPr>
          <w:szCs w:val="24"/>
        </w:rPr>
        <w:t xml:space="preserve">Program </w:t>
      </w:r>
      <w:r>
        <w:rPr>
          <w:szCs w:val="24"/>
        </w:rPr>
        <w:t>by the end of calendar year 2018, approximately</w:t>
      </w:r>
      <w:r w:rsidR="00460222">
        <w:rPr>
          <w:szCs w:val="24"/>
        </w:rPr>
        <w:t xml:space="preserve"> 24,600 AF had seeped from the reservoir as groundwater recharge, 2,300 AF was lost to evaporation, and</w:t>
      </w:r>
      <w:r>
        <w:rPr>
          <w:szCs w:val="24"/>
        </w:rPr>
        <w:t xml:space="preserve"> </w:t>
      </w:r>
      <w:r w:rsidR="00460222">
        <w:rPr>
          <w:szCs w:val="24"/>
        </w:rPr>
        <w:t>17,300</w:t>
      </w:r>
      <w:r>
        <w:rPr>
          <w:szCs w:val="24"/>
        </w:rPr>
        <w:t xml:space="preserve"> AF remained in storage in the reservoir itself</w:t>
      </w:r>
      <w:r w:rsidR="00460222">
        <w:rPr>
          <w:szCs w:val="24"/>
        </w:rPr>
        <w:t xml:space="preserve">.  Of the </w:t>
      </w:r>
      <w:r w:rsidR="00460222">
        <w:rPr>
          <w:szCs w:val="24"/>
        </w:rPr>
        <w:lastRenderedPageBreak/>
        <w:t>total seepage volume, 4,200 AF had returned to the Platte River as lagged accretions, and the balance of 20,400 AF either migrated towards the Republican River or remained in aquifer storage en route to the Platte River.</w:t>
      </w:r>
      <w:r w:rsidR="0075659F">
        <w:rPr>
          <w:szCs w:val="24"/>
        </w:rPr>
        <w:t xml:space="preserve">  </w:t>
      </w:r>
    </w:p>
    <w:p w14:paraId="40A536FC" w14:textId="77777777" w:rsidR="00B03DC0" w:rsidRDefault="00B03DC0" w:rsidP="004446AA">
      <w:pPr>
        <w:rPr>
          <w:szCs w:val="24"/>
        </w:rPr>
      </w:pPr>
    </w:p>
    <w:p w14:paraId="680CBD07" w14:textId="388425A7" w:rsidR="006A2D64" w:rsidRPr="006A2D64" w:rsidRDefault="0075659F" w:rsidP="004446AA">
      <w:pPr>
        <w:rPr>
          <w:szCs w:val="24"/>
        </w:rPr>
      </w:pPr>
      <w:r>
        <w:rPr>
          <w:szCs w:val="24"/>
        </w:rPr>
        <w:t>Through the first four years of</w:t>
      </w:r>
      <w:r w:rsidR="005C0489">
        <w:rPr>
          <w:szCs w:val="24"/>
        </w:rPr>
        <w:t xml:space="preserve"> Elwood recharge operations, the total lagged accretions and deficit reductions at Grand Island represent only a fraction of the 44,100 AF of invoiced diversions, and annual average values are even less.  Time is the dominant factor here, with the increased time to recharge through the reservoir compared to the canal recharge projects, and the extended time required to traverse the distance between Elwood Reservoir and the river through groundwater migration.  The average deficit reduction of 460 AF is well below the recommended score of 2,800 AF, but the annual data show increased deficit reduction in each successive year.  It may take a decade or longer, but if Elwood recharge continues to operate as it has, the project should continue on a trajectory which leads to</w:t>
      </w:r>
      <w:r w:rsidR="00C54AE6">
        <w:rPr>
          <w:szCs w:val="24"/>
        </w:rPr>
        <w:t xml:space="preserve"> a steady-state</w:t>
      </w:r>
      <w:r w:rsidR="00807B54">
        <w:rPr>
          <w:szCs w:val="24"/>
        </w:rPr>
        <w:t xml:space="preserve"> with</w:t>
      </w:r>
      <w:r w:rsidR="005C0489">
        <w:rPr>
          <w:szCs w:val="24"/>
        </w:rPr>
        <w:t xml:space="preserve"> average annual deficit reductions eventually lining up with the score.   </w:t>
      </w:r>
    </w:p>
    <w:p w14:paraId="1C0C3088" w14:textId="77777777" w:rsidR="00494FEF" w:rsidRDefault="00494FEF" w:rsidP="00B9798C">
      <w:pPr>
        <w:pStyle w:val="ListParagraph"/>
        <w:numPr>
          <w:ilvl w:val="0"/>
          <w:numId w:val="4"/>
        </w:numPr>
        <w:spacing w:before="240" w:after="240"/>
        <w:rPr>
          <w:b/>
        </w:rPr>
      </w:pPr>
      <w:r>
        <w:rPr>
          <w:b/>
        </w:rPr>
        <w:t>CPNRD Canal Recharge</w:t>
      </w:r>
    </w:p>
    <w:p w14:paraId="00F874FC" w14:textId="66F1FB42" w:rsidR="00C34780" w:rsidRDefault="000028CE" w:rsidP="00494FEF">
      <w:pPr>
        <w:pStyle w:val="ListParagraph"/>
        <w:ind w:left="0"/>
        <w:rPr>
          <w:szCs w:val="24"/>
        </w:rPr>
      </w:pPr>
      <w:r>
        <w:rPr>
          <w:szCs w:val="24"/>
        </w:rPr>
        <w:t xml:space="preserve">The Program and the CPNRD signed a </w:t>
      </w:r>
      <w:r w:rsidR="00F82E24">
        <w:rPr>
          <w:szCs w:val="24"/>
        </w:rPr>
        <w:t xml:space="preserve">water use </w:t>
      </w:r>
      <w:r>
        <w:rPr>
          <w:szCs w:val="24"/>
        </w:rPr>
        <w:t>lease agreement in December 2013,</w:t>
      </w:r>
      <w:r w:rsidR="008A0635">
        <w:rPr>
          <w:szCs w:val="24"/>
        </w:rPr>
        <w:t xml:space="preserve"> which remains in effect at the present,</w:t>
      </w:r>
      <w:r>
        <w:rPr>
          <w:szCs w:val="24"/>
        </w:rPr>
        <w:t xml:space="preserve"> under which the CPNRD </w:t>
      </w:r>
      <w:r w:rsidR="005B5056">
        <w:rPr>
          <w:szCs w:val="24"/>
        </w:rPr>
        <w:t>provides</w:t>
      </w:r>
      <w:r>
        <w:rPr>
          <w:szCs w:val="24"/>
        </w:rPr>
        <w:t xml:space="preserve"> up to 20,500 AF per year to the </w:t>
      </w:r>
      <w:r w:rsidR="00DA2EFC">
        <w:rPr>
          <w:szCs w:val="24"/>
        </w:rPr>
        <w:t>Program</w:t>
      </w:r>
      <w:r>
        <w:rPr>
          <w:szCs w:val="24"/>
        </w:rPr>
        <w:t xml:space="preserve"> through a combination of transferred surface water and accretions from groundwater recharge in the Thirty Mile, Cozad, and Orchard-Alfalfa canals.</w:t>
      </w:r>
      <w:r w:rsidR="00E1282F">
        <w:rPr>
          <w:szCs w:val="24"/>
        </w:rPr>
        <w:t xml:space="preserve">  Groundwater recharge</w:t>
      </w:r>
      <w:r w:rsidR="00C34780">
        <w:rPr>
          <w:szCs w:val="24"/>
        </w:rPr>
        <w:t xml:space="preserve"> operations rely on divertible excess flows during the non-irrigation season and first occurred </w:t>
      </w:r>
      <w:r w:rsidR="002C355B">
        <w:rPr>
          <w:szCs w:val="24"/>
        </w:rPr>
        <w:t xml:space="preserve">under the current lease agreement </w:t>
      </w:r>
      <w:r w:rsidR="00C34780">
        <w:rPr>
          <w:szCs w:val="24"/>
        </w:rPr>
        <w:t xml:space="preserve">in 2013.  The NDNR granted permanent permits to divert excess flows for groundwater recharge in March 2015; the individual permits for each of the three canals are included in </w:t>
      </w:r>
      <w:r w:rsidR="00C34780" w:rsidRPr="00ED6538">
        <w:rPr>
          <w:b/>
          <w:szCs w:val="24"/>
        </w:rPr>
        <w:t xml:space="preserve">Appendix </w:t>
      </w:r>
      <w:r w:rsidR="00E27C8F">
        <w:rPr>
          <w:b/>
          <w:szCs w:val="24"/>
        </w:rPr>
        <w:t>E</w:t>
      </w:r>
      <w:r w:rsidR="00C34780">
        <w:rPr>
          <w:szCs w:val="24"/>
        </w:rPr>
        <w:t xml:space="preserve">. An amendment to the lease agreement, effective in January 2017, </w:t>
      </w:r>
      <w:r w:rsidR="00CF3C22">
        <w:rPr>
          <w:szCs w:val="24"/>
        </w:rPr>
        <w:t>modified</w:t>
      </w:r>
      <w:r w:rsidR="00C34780">
        <w:rPr>
          <w:szCs w:val="24"/>
        </w:rPr>
        <w:t xml:space="preserve"> the rate structure for transferred surface water and groundwater accretions.</w:t>
      </w:r>
    </w:p>
    <w:p w14:paraId="35A493C9" w14:textId="77777777" w:rsidR="00C34780" w:rsidRDefault="00C34780" w:rsidP="00494FEF">
      <w:pPr>
        <w:pStyle w:val="ListParagraph"/>
        <w:ind w:left="0"/>
        <w:rPr>
          <w:szCs w:val="24"/>
        </w:rPr>
      </w:pPr>
    </w:p>
    <w:p w14:paraId="0A9C0E4C" w14:textId="126AD85C" w:rsidR="00621F75" w:rsidRDefault="00DA2EFC" w:rsidP="00494FEF">
      <w:pPr>
        <w:pStyle w:val="ListParagraph"/>
        <w:ind w:left="0"/>
        <w:rPr>
          <w:szCs w:val="24"/>
        </w:rPr>
      </w:pPr>
      <w:r>
        <w:rPr>
          <w:szCs w:val="24"/>
        </w:rPr>
        <w:t xml:space="preserve">Due to a lack of </w:t>
      </w:r>
      <w:r w:rsidR="001F7576">
        <w:rPr>
          <w:szCs w:val="24"/>
        </w:rPr>
        <w:t xml:space="preserve">available </w:t>
      </w:r>
      <w:r>
        <w:rPr>
          <w:szCs w:val="24"/>
        </w:rPr>
        <w:t xml:space="preserve">excess flows, there were no recharge diversions </w:t>
      </w:r>
      <w:r w:rsidR="00E12802">
        <w:rPr>
          <w:szCs w:val="24"/>
        </w:rPr>
        <w:t>into</w:t>
      </w:r>
      <w:r>
        <w:rPr>
          <w:szCs w:val="24"/>
        </w:rPr>
        <w:t xml:space="preserve"> any of the three </w:t>
      </w:r>
      <w:r w:rsidR="001F750E">
        <w:rPr>
          <w:szCs w:val="24"/>
        </w:rPr>
        <w:t xml:space="preserve">CPNRD </w:t>
      </w:r>
      <w:r>
        <w:rPr>
          <w:szCs w:val="24"/>
        </w:rPr>
        <w:t xml:space="preserve">canals in </w:t>
      </w:r>
      <w:r w:rsidR="001F750E">
        <w:rPr>
          <w:szCs w:val="24"/>
        </w:rPr>
        <w:t>s</w:t>
      </w:r>
      <w:r>
        <w:rPr>
          <w:szCs w:val="24"/>
        </w:rPr>
        <w:t>pring 2018</w:t>
      </w:r>
      <w:r w:rsidR="001F750E">
        <w:rPr>
          <w:szCs w:val="24"/>
        </w:rPr>
        <w:t xml:space="preserve"> and any diversions in the fall were </w:t>
      </w:r>
      <w:r w:rsidR="001F7576">
        <w:rPr>
          <w:szCs w:val="24"/>
        </w:rPr>
        <w:t>minimal</w:t>
      </w:r>
      <w:r>
        <w:rPr>
          <w:szCs w:val="24"/>
        </w:rPr>
        <w:t xml:space="preserve">.  </w:t>
      </w:r>
      <w:r w:rsidR="00C81C6A">
        <w:rPr>
          <w:szCs w:val="24"/>
        </w:rPr>
        <w:t xml:space="preserve">The CPNRD </w:t>
      </w:r>
      <w:r w:rsidR="001F7576">
        <w:rPr>
          <w:szCs w:val="24"/>
        </w:rPr>
        <w:t xml:space="preserve">currently </w:t>
      </w:r>
      <w:r w:rsidR="00C81C6A">
        <w:rPr>
          <w:szCs w:val="24"/>
        </w:rPr>
        <w:t>bills the Program for calculated groundwater accretions</w:t>
      </w:r>
      <w:r w:rsidR="001F7576">
        <w:rPr>
          <w:szCs w:val="24"/>
        </w:rPr>
        <w:t xml:space="preserve"> rather than diversions or net recharge volume</w:t>
      </w:r>
      <w:r w:rsidR="00C81C6A">
        <w:rPr>
          <w:szCs w:val="24"/>
        </w:rPr>
        <w:t xml:space="preserve">.  Each year’s billing includes some accretions from water that was recharged in that year, plus lagged accretions that accumulate from each previous year of recharge, back to 2013 in the case of the CPNRD canals.  Given the </w:t>
      </w:r>
      <w:r w:rsidR="001F7576">
        <w:rPr>
          <w:szCs w:val="24"/>
        </w:rPr>
        <w:t>limited</w:t>
      </w:r>
      <w:r w:rsidR="001F750E">
        <w:rPr>
          <w:szCs w:val="24"/>
        </w:rPr>
        <w:t xml:space="preserve"> </w:t>
      </w:r>
      <w:r w:rsidR="00C81C6A">
        <w:rPr>
          <w:szCs w:val="24"/>
        </w:rPr>
        <w:t xml:space="preserve">recharge diversions into the canals in 2018, the Program was billed for 1,866 AF of lagged accretions resulting from past CPNRD canal recharge.  </w:t>
      </w:r>
      <w:r w:rsidR="00C81C6A" w:rsidRPr="0075567F">
        <w:rPr>
          <w:b/>
          <w:szCs w:val="24"/>
        </w:rPr>
        <w:t xml:space="preserve">Table </w:t>
      </w:r>
      <w:r w:rsidR="00E27C8F">
        <w:rPr>
          <w:b/>
          <w:szCs w:val="24"/>
        </w:rPr>
        <w:t>6</w:t>
      </w:r>
      <w:r w:rsidR="00E27C8F">
        <w:rPr>
          <w:szCs w:val="24"/>
        </w:rPr>
        <w:t xml:space="preserve"> </w:t>
      </w:r>
      <w:r w:rsidR="00C81C6A">
        <w:rPr>
          <w:szCs w:val="24"/>
        </w:rPr>
        <w:t xml:space="preserve">provides the CPNRD accretions data for 2013-2018.  </w:t>
      </w:r>
      <w:r w:rsidR="00150A19" w:rsidRPr="00BC6B20">
        <w:rPr>
          <w:szCs w:val="24"/>
        </w:rPr>
        <w:t>Values for 2014</w:t>
      </w:r>
      <w:r w:rsidR="00150A19">
        <w:rPr>
          <w:szCs w:val="24"/>
        </w:rPr>
        <w:t xml:space="preserve"> are</w:t>
      </w:r>
      <w:r w:rsidR="00150A19" w:rsidRPr="00BC6B20">
        <w:rPr>
          <w:szCs w:val="24"/>
        </w:rPr>
        <w:t xml:space="preserve"> from CPNRD spreadsheets </w:t>
      </w:r>
      <w:r w:rsidR="00150A19">
        <w:rPr>
          <w:szCs w:val="24"/>
        </w:rPr>
        <w:t xml:space="preserve">provided </w:t>
      </w:r>
      <w:r w:rsidR="00150A19" w:rsidRPr="00BC6B20">
        <w:rPr>
          <w:szCs w:val="24"/>
        </w:rPr>
        <w:t>in subsequent years</w:t>
      </w:r>
      <w:r w:rsidR="00150A19">
        <w:rPr>
          <w:szCs w:val="24"/>
        </w:rPr>
        <w:t>; a</w:t>
      </w:r>
      <w:r w:rsidR="00150A19" w:rsidRPr="00BC6B20">
        <w:rPr>
          <w:szCs w:val="24"/>
        </w:rPr>
        <w:t>ll other values</w:t>
      </w:r>
      <w:r w:rsidR="00150A19">
        <w:rPr>
          <w:szCs w:val="24"/>
        </w:rPr>
        <w:t xml:space="preserve"> are</w:t>
      </w:r>
      <w:r w:rsidR="00150A19" w:rsidRPr="00BC6B20">
        <w:rPr>
          <w:szCs w:val="24"/>
        </w:rPr>
        <w:t xml:space="preserve"> based on CPNRD invoices and supporting documentation.</w:t>
      </w:r>
    </w:p>
    <w:p w14:paraId="39F3BD24" w14:textId="5CECFD9C" w:rsidR="00C81C6A" w:rsidRDefault="00C81C6A" w:rsidP="00494FEF">
      <w:pPr>
        <w:pStyle w:val="ListParagraph"/>
        <w:ind w:left="0"/>
        <w:rPr>
          <w:szCs w:val="24"/>
        </w:rPr>
      </w:pPr>
    </w:p>
    <w:p w14:paraId="4CE67AE2" w14:textId="77777777" w:rsidR="005E703D" w:rsidRDefault="005E703D">
      <w:pPr>
        <w:rPr>
          <w:b/>
          <w:sz w:val="22"/>
        </w:rPr>
      </w:pPr>
      <w:r>
        <w:rPr>
          <w:b/>
          <w:sz w:val="22"/>
        </w:rPr>
        <w:br w:type="page"/>
      </w:r>
    </w:p>
    <w:p w14:paraId="0ACA3B91" w14:textId="27FAF400" w:rsidR="0075567F" w:rsidRPr="00710976" w:rsidRDefault="0075567F" w:rsidP="00494FEF">
      <w:pPr>
        <w:pStyle w:val="ListParagraph"/>
        <w:ind w:left="0"/>
        <w:rPr>
          <w:b/>
          <w:sz w:val="22"/>
        </w:rPr>
      </w:pPr>
      <w:r w:rsidRPr="00710976">
        <w:rPr>
          <w:b/>
          <w:sz w:val="22"/>
        </w:rPr>
        <w:lastRenderedPageBreak/>
        <w:t xml:space="preserve">Table </w:t>
      </w:r>
      <w:r w:rsidR="00E27C8F">
        <w:rPr>
          <w:b/>
          <w:sz w:val="22"/>
        </w:rPr>
        <w:t>6</w:t>
      </w:r>
      <w:r w:rsidRPr="00710976">
        <w:rPr>
          <w:b/>
          <w:sz w:val="22"/>
        </w:rPr>
        <w:t>.  Baseflow Accretions from CPNRD Canal Recharge, 2013-2018</w:t>
      </w:r>
    </w:p>
    <w:tbl>
      <w:tblPr>
        <w:tblStyle w:val="TableGrid"/>
        <w:tblW w:w="0" w:type="auto"/>
        <w:tblLook w:val="04A0" w:firstRow="1" w:lastRow="0" w:firstColumn="1" w:lastColumn="0" w:noHBand="0" w:noVBand="1"/>
      </w:tblPr>
      <w:tblGrid>
        <w:gridCol w:w="1867"/>
        <w:gridCol w:w="1858"/>
        <w:gridCol w:w="1857"/>
        <w:gridCol w:w="1873"/>
        <w:gridCol w:w="1895"/>
      </w:tblGrid>
      <w:tr w:rsidR="0075567F" w:rsidRPr="00710976" w14:paraId="1F17B67F" w14:textId="77777777" w:rsidTr="00C64609">
        <w:tc>
          <w:tcPr>
            <w:tcW w:w="1867" w:type="dxa"/>
            <w:shd w:val="clear" w:color="auto" w:fill="C2D69B" w:themeFill="accent3" w:themeFillTint="99"/>
            <w:vAlign w:val="bottom"/>
          </w:tcPr>
          <w:p w14:paraId="68294A27" w14:textId="3B311796" w:rsidR="0075567F" w:rsidRPr="00BE1863" w:rsidRDefault="0075567F" w:rsidP="00ED31CF">
            <w:pPr>
              <w:pStyle w:val="ListParagraph"/>
              <w:ind w:left="0"/>
              <w:jc w:val="center"/>
              <w:rPr>
                <w:b/>
                <w:sz w:val="22"/>
              </w:rPr>
            </w:pPr>
            <w:r w:rsidRPr="00BE1863">
              <w:rPr>
                <w:b/>
                <w:sz w:val="22"/>
              </w:rPr>
              <w:t>Year</w:t>
            </w:r>
          </w:p>
        </w:tc>
        <w:tc>
          <w:tcPr>
            <w:tcW w:w="1858" w:type="dxa"/>
            <w:shd w:val="clear" w:color="auto" w:fill="C2D69B" w:themeFill="accent3" w:themeFillTint="99"/>
            <w:vAlign w:val="bottom"/>
          </w:tcPr>
          <w:p w14:paraId="1CB21D91" w14:textId="77777777" w:rsidR="0075567F" w:rsidRPr="00BE1863" w:rsidRDefault="0075567F" w:rsidP="00ED31CF">
            <w:pPr>
              <w:pStyle w:val="ListParagraph"/>
              <w:ind w:left="0"/>
              <w:jc w:val="center"/>
              <w:rPr>
                <w:b/>
                <w:sz w:val="22"/>
              </w:rPr>
            </w:pPr>
            <w:r w:rsidRPr="00BE1863">
              <w:rPr>
                <w:b/>
                <w:sz w:val="22"/>
              </w:rPr>
              <w:t>Thirty Mile</w:t>
            </w:r>
          </w:p>
          <w:p w14:paraId="130EA95D" w14:textId="0A8A5DD1" w:rsidR="00ED31CF" w:rsidRPr="00BE1863" w:rsidRDefault="00ED31CF" w:rsidP="00ED31CF">
            <w:pPr>
              <w:pStyle w:val="ListParagraph"/>
              <w:ind w:left="0"/>
              <w:jc w:val="center"/>
              <w:rPr>
                <w:b/>
                <w:sz w:val="22"/>
              </w:rPr>
            </w:pPr>
            <w:r w:rsidRPr="00BE1863">
              <w:rPr>
                <w:b/>
                <w:sz w:val="22"/>
              </w:rPr>
              <w:t>(AF)</w:t>
            </w:r>
          </w:p>
        </w:tc>
        <w:tc>
          <w:tcPr>
            <w:tcW w:w="1857" w:type="dxa"/>
            <w:shd w:val="clear" w:color="auto" w:fill="C2D69B" w:themeFill="accent3" w:themeFillTint="99"/>
            <w:vAlign w:val="bottom"/>
          </w:tcPr>
          <w:p w14:paraId="5765A9CE" w14:textId="77777777" w:rsidR="0075567F" w:rsidRPr="00BE1863" w:rsidRDefault="0075567F" w:rsidP="00ED31CF">
            <w:pPr>
              <w:pStyle w:val="ListParagraph"/>
              <w:ind w:left="0"/>
              <w:jc w:val="center"/>
              <w:rPr>
                <w:b/>
                <w:sz w:val="22"/>
              </w:rPr>
            </w:pPr>
            <w:r w:rsidRPr="00BE1863">
              <w:rPr>
                <w:b/>
                <w:sz w:val="22"/>
              </w:rPr>
              <w:t>Cozad</w:t>
            </w:r>
          </w:p>
          <w:p w14:paraId="34841D8B" w14:textId="177D2D7A" w:rsidR="00ED31CF" w:rsidRPr="00BE1863" w:rsidRDefault="00ED31CF" w:rsidP="00ED31CF">
            <w:pPr>
              <w:pStyle w:val="ListParagraph"/>
              <w:ind w:left="0"/>
              <w:jc w:val="center"/>
              <w:rPr>
                <w:b/>
                <w:sz w:val="22"/>
              </w:rPr>
            </w:pPr>
            <w:r w:rsidRPr="00BE1863">
              <w:rPr>
                <w:b/>
                <w:sz w:val="22"/>
              </w:rPr>
              <w:t>(AF)</w:t>
            </w:r>
          </w:p>
        </w:tc>
        <w:tc>
          <w:tcPr>
            <w:tcW w:w="1873" w:type="dxa"/>
            <w:shd w:val="clear" w:color="auto" w:fill="C2D69B" w:themeFill="accent3" w:themeFillTint="99"/>
            <w:vAlign w:val="bottom"/>
          </w:tcPr>
          <w:p w14:paraId="7CA02E3E" w14:textId="77777777" w:rsidR="0075567F" w:rsidRPr="00BE1863" w:rsidRDefault="0075567F" w:rsidP="00ED31CF">
            <w:pPr>
              <w:pStyle w:val="ListParagraph"/>
              <w:ind w:left="0"/>
              <w:jc w:val="center"/>
              <w:rPr>
                <w:b/>
                <w:sz w:val="22"/>
              </w:rPr>
            </w:pPr>
            <w:r w:rsidRPr="00BE1863">
              <w:rPr>
                <w:b/>
                <w:sz w:val="22"/>
              </w:rPr>
              <w:t>Orchard-Alfalfa</w:t>
            </w:r>
          </w:p>
          <w:p w14:paraId="4B6E1F48" w14:textId="55B39E6E" w:rsidR="00ED31CF" w:rsidRPr="00BE1863" w:rsidRDefault="00ED31CF" w:rsidP="00ED31CF">
            <w:pPr>
              <w:pStyle w:val="ListParagraph"/>
              <w:ind w:left="0"/>
              <w:jc w:val="center"/>
              <w:rPr>
                <w:b/>
                <w:sz w:val="22"/>
              </w:rPr>
            </w:pPr>
            <w:r w:rsidRPr="00BE1863">
              <w:rPr>
                <w:b/>
                <w:sz w:val="22"/>
              </w:rPr>
              <w:t>(AF)</w:t>
            </w:r>
          </w:p>
        </w:tc>
        <w:tc>
          <w:tcPr>
            <w:tcW w:w="1895" w:type="dxa"/>
            <w:shd w:val="clear" w:color="auto" w:fill="C2D69B" w:themeFill="accent3" w:themeFillTint="99"/>
            <w:vAlign w:val="bottom"/>
          </w:tcPr>
          <w:p w14:paraId="1B71275B" w14:textId="0B3B391F" w:rsidR="0075567F" w:rsidRPr="00BE1863" w:rsidRDefault="0075567F" w:rsidP="00ED31CF">
            <w:pPr>
              <w:pStyle w:val="ListParagraph"/>
              <w:ind w:left="0"/>
              <w:jc w:val="center"/>
              <w:rPr>
                <w:b/>
                <w:sz w:val="22"/>
              </w:rPr>
            </w:pPr>
            <w:r w:rsidRPr="00BE1863">
              <w:rPr>
                <w:b/>
                <w:sz w:val="22"/>
              </w:rPr>
              <w:t>Combined</w:t>
            </w:r>
          </w:p>
          <w:p w14:paraId="5AB2F96D" w14:textId="1446D62E" w:rsidR="00ED31CF" w:rsidRPr="00BE1863" w:rsidRDefault="00ED31CF" w:rsidP="00ED31CF">
            <w:pPr>
              <w:pStyle w:val="ListParagraph"/>
              <w:ind w:left="0"/>
              <w:jc w:val="center"/>
              <w:rPr>
                <w:b/>
                <w:sz w:val="22"/>
              </w:rPr>
            </w:pPr>
            <w:r w:rsidRPr="00BE1863">
              <w:rPr>
                <w:b/>
                <w:sz w:val="22"/>
              </w:rPr>
              <w:t>(AF)</w:t>
            </w:r>
          </w:p>
        </w:tc>
      </w:tr>
      <w:tr w:rsidR="00C64609" w:rsidRPr="00710976" w14:paraId="7E0E9CCF" w14:textId="77777777" w:rsidTr="00C64609">
        <w:trPr>
          <w:trHeight w:val="288"/>
        </w:trPr>
        <w:tc>
          <w:tcPr>
            <w:tcW w:w="1867" w:type="dxa"/>
            <w:vAlign w:val="center"/>
          </w:tcPr>
          <w:p w14:paraId="6BC0EF31" w14:textId="4D137715" w:rsidR="00C64609" w:rsidRPr="00BE1863" w:rsidRDefault="00C64609" w:rsidP="00C64609">
            <w:pPr>
              <w:pStyle w:val="ListParagraph"/>
              <w:ind w:left="0"/>
              <w:jc w:val="center"/>
              <w:rPr>
                <w:sz w:val="22"/>
              </w:rPr>
            </w:pPr>
            <w:r w:rsidRPr="00BE1863">
              <w:rPr>
                <w:sz w:val="22"/>
              </w:rPr>
              <w:t>2013</w:t>
            </w:r>
          </w:p>
        </w:tc>
        <w:tc>
          <w:tcPr>
            <w:tcW w:w="1858" w:type="dxa"/>
            <w:vAlign w:val="center"/>
          </w:tcPr>
          <w:p w14:paraId="63A50876" w14:textId="46136404" w:rsidR="00C64609" w:rsidRPr="00BE1863" w:rsidRDefault="00C64609" w:rsidP="00C64609">
            <w:pPr>
              <w:pStyle w:val="ListParagraph"/>
              <w:tabs>
                <w:tab w:val="left" w:pos="1470"/>
              </w:tabs>
              <w:ind w:left="0"/>
              <w:jc w:val="center"/>
              <w:rPr>
                <w:sz w:val="22"/>
              </w:rPr>
            </w:pPr>
            <w:r w:rsidRPr="00BE1863">
              <w:rPr>
                <w:sz w:val="22"/>
              </w:rPr>
              <w:t>491</w:t>
            </w:r>
          </w:p>
        </w:tc>
        <w:tc>
          <w:tcPr>
            <w:tcW w:w="1857" w:type="dxa"/>
            <w:vAlign w:val="center"/>
          </w:tcPr>
          <w:p w14:paraId="4D4272CE" w14:textId="60AA1373" w:rsidR="00C64609" w:rsidRPr="00BE1863" w:rsidRDefault="00C64609" w:rsidP="00C64609">
            <w:pPr>
              <w:pStyle w:val="ListParagraph"/>
              <w:ind w:left="0"/>
              <w:jc w:val="center"/>
              <w:rPr>
                <w:sz w:val="22"/>
              </w:rPr>
            </w:pPr>
            <w:r w:rsidRPr="00BE1863">
              <w:rPr>
                <w:sz w:val="22"/>
              </w:rPr>
              <w:t>145.9</w:t>
            </w:r>
          </w:p>
        </w:tc>
        <w:tc>
          <w:tcPr>
            <w:tcW w:w="1873" w:type="dxa"/>
            <w:vAlign w:val="center"/>
          </w:tcPr>
          <w:p w14:paraId="093B1DCF" w14:textId="124C6235" w:rsidR="00C64609" w:rsidRPr="00BE1863" w:rsidRDefault="00C64609" w:rsidP="00C64609">
            <w:pPr>
              <w:pStyle w:val="ListParagraph"/>
              <w:ind w:left="0"/>
              <w:jc w:val="center"/>
              <w:rPr>
                <w:sz w:val="22"/>
              </w:rPr>
            </w:pPr>
            <w:r w:rsidRPr="00BE1863">
              <w:rPr>
                <w:sz w:val="22"/>
              </w:rPr>
              <w:t>339</w:t>
            </w:r>
          </w:p>
        </w:tc>
        <w:tc>
          <w:tcPr>
            <w:tcW w:w="1895" w:type="dxa"/>
            <w:vAlign w:val="center"/>
          </w:tcPr>
          <w:p w14:paraId="3BF340ED" w14:textId="62985A80" w:rsidR="00C64609" w:rsidRPr="00BE1863" w:rsidRDefault="00C64609" w:rsidP="00C64609">
            <w:pPr>
              <w:pStyle w:val="ListParagraph"/>
              <w:ind w:left="0"/>
              <w:jc w:val="center"/>
              <w:rPr>
                <w:sz w:val="22"/>
              </w:rPr>
            </w:pPr>
            <w:r w:rsidRPr="00BE1863">
              <w:rPr>
                <w:sz w:val="22"/>
              </w:rPr>
              <w:t>975.9</w:t>
            </w:r>
          </w:p>
        </w:tc>
      </w:tr>
      <w:tr w:rsidR="00C64609" w:rsidRPr="00710976" w14:paraId="79AFE99A" w14:textId="77777777" w:rsidTr="00C64609">
        <w:trPr>
          <w:trHeight w:val="288"/>
        </w:trPr>
        <w:tc>
          <w:tcPr>
            <w:tcW w:w="1867" w:type="dxa"/>
            <w:vAlign w:val="center"/>
          </w:tcPr>
          <w:p w14:paraId="11A2B3CD" w14:textId="6ED89C38" w:rsidR="00C64609" w:rsidRPr="00BE1863" w:rsidRDefault="00C64609" w:rsidP="00C64609">
            <w:pPr>
              <w:pStyle w:val="ListParagraph"/>
              <w:ind w:left="0"/>
              <w:jc w:val="center"/>
              <w:rPr>
                <w:sz w:val="22"/>
              </w:rPr>
            </w:pPr>
            <w:r w:rsidRPr="00BE1863">
              <w:rPr>
                <w:sz w:val="22"/>
              </w:rPr>
              <w:t>2014</w:t>
            </w:r>
          </w:p>
        </w:tc>
        <w:tc>
          <w:tcPr>
            <w:tcW w:w="1858" w:type="dxa"/>
            <w:vAlign w:val="center"/>
          </w:tcPr>
          <w:p w14:paraId="29D88A07" w14:textId="4359121E" w:rsidR="00C64609" w:rsidRPr="00BE1863" w:rsidRDefault="00C64609" w:rsidP="00C64609">
            <w:pPr>
              <w:pStyle w:val="ListParagraph"/>
              <w:ind w:left="0"/>
              <w:jc w:val="center"/>
              <w:rPr>
                <w:sz w:val="22"/>
              </w:rPr>
            </w:pPr>
            <w:r w:rsidRPr="00BE1863">
              <w:rPr>
                <w:sz w:val="22"/>
              </w:rPr>
              <w:t>850</w:t>
            </w:r>
          </w:p>
        </w:tc>
        <w:tc>
          <w:tcPr>
            <w:tcW w:w="1857" w:type="dxa"/>
            <w:vAlign w:val="center"/>
          </w:tcPr>
          <w:p w14:paraId="7333FE1D" w14:textId="1737A1E2" w:rsidR="00C64609" w:rsidRPr="00BE1863" w:rsidRDefault="00C64609" w:rsidP="00C64609">
            <w:pPr>
              <w:pStyle w:val="ListParagraph"/>
              <w:ind w:left="0"/>
              <w:jc w:val="center"/>
              <w:rPr>
                <w:sz w:val="22"/>
              </w:rPr>
            </w:pPr>
            <w:r w:rsidRPr="00BE1863">
              <w:rPr>
                <w:sz w:val="22"/>
              </w:rPr>
              <w:t>83</w:t>
            </w:r>
          </w:p>
        </w:tc>
        <w:tc>
          <w:tcPr>
            <w:tcW w:w="1873" w:type="dxa"/>
            <w:vAlign w:val="center"/>
          </w:tcPr>
          <w:p w14:paraId="2CA89AFE" w14:textId="52293DE6" w:rsidR="00C64609" w:rsidRPr="00BE1863" w:rsidRDefault="00C64609" w:rsidP="00C64609">
            <w:pPr>
              <w:pStyle w:val="ListParagraph"/>
              <w:ind w:left="0"/>
              <w:jc w:val="center"/>
              <w:rPr>
                <w:sz w:val="22"/>
              </w:rPr>
            </w:pPr>
            <w:r w:rsidRPr="00BE1863">
              <w:rPr>
                <w:sz w:val="22"/>
              </w:rPr>
              <w:t>215</w:t>
            </w:r>
          </w:p>
        </w:tc>
        <w:tc>
          <w:tcPr>
            <w:tcW w:w="1895" w:type="dxa"/>
            <w:vAlign w:val="center"/>
          </w:tcPr>
          <w:p w14:paraId="5B4ED0DF" w14:textId="7B402964" w:rsidR="00C64609" w:rsidRPr="00BE1863" w:rsidRDefault="00C64609" w:rsidP="00C64609">
            <w:pPr>
              <w:pStyle w:val="ListParagraph"/>
              <w:ind w:left="0"/>
              <w:jc w:val="center"/>
              <w:rPr>
                <w:sz w:val="22"/>
              </w:rPr>
            </w:pPr>
            <w:r w:rsidRPr="00BE1863">
              <w:rPr>
                <w:sz w:val="22"/>
              </w:rPr>
              <w:t>1,148</w:t>
            </w:r>
          </w:p>
        </w:tc>
      </w:tr>
      <w:tr w:rsidR="00C64609" w:rsidRPr="00710976" w14:paraId="6F9303E3" w14:textId="77777777" w:rsidTr="00C64609">
        <w:trPr>
          <w:trHeight w:val="288"/>
        </w:trPr>
        <w:tc>
          <w:tcPr>
            <w:tcW w:w="1867" w:type="dxa"/>
            <w:vAlign w:val="center"/>
          </w:tcPr>
          <w:p w14:paraId="6CA1BD0B" w14:textId="128058FD" w:rsidR="00C64609" w:rsidRPr="00BE1863" w:rsidRDefault="00C64609" w:rsidP="00C64609">
            <w:pPr>
              <w:pStyle w:val="ListParagraph"/>
              <w:ind w:left="0"/>
              <w:jc w:val="center"/>
              <w:rPr>
                <w:sz w:val="22"/>
              </w:rPr>
            </w:pPr>
            <w:r w:rsidRPr="00BE1863">
              <w:rPr>
                <w:sz w:val="22"/>
              </w:rPr>
              <w:t>2015</w:t>
            </w:r>
          </w:p>
        </w:tc>
        <w:tc>
          <w:tcPr>
            <w:tcW w:w="1858" w:type="dxa"/>
            <w:vAlign w:val="center"/>
          </w:tcPr>
          <w:p w14:paraId="13DE31D4" w14:textId="55EBB511" w:rsidR="00C64609" w:rsidRPr="00BE1863" w:rsidRDefault="00C64609" w:rsidP="00C64609">
            <w:pPr>
              <w:pStyle w:val="ListParagraph"/>
              <w:ind w:left="0"/>
              <w:jc w:val="center"/>
              <w:rPr>
                <w:sz w:val="22"/>
              </w:rPr>
            </w:pPr>
            <w:r w:rsidRPr="00BE1863">
              <w:rPr>
                <w:sz w:val="22"/>
              </w:rPr>
              <w:t>796</w:t>
            </w:r>
          </w:p>
        </w:tc>
        <w:tc>
          <w:tcPr>
            <w:tcW w:w="1857" w:type="dxa"/>
            <w:vAlign w:val="center"/>
          </w:tcPr>
          <w:p w14:paraId="4E2A5BF8" w14:textId="3FEE6571" w:rsidR="00C64609" w:rsidRPr="00BE1863" w:rsidRDefault="00C64609" w:rsidP="00C64609">
            <w:pPr>
              <w:pStyle w:val="ListParagraph"/>
              <w:ind w:left="0"/>
              <w:jc w:val="center"/>
              <w:rPr>
                <w:sz w:val="22"/>
              </w:rPr>
            </w:pPr>
            <w:r w:rsidRPr="00BE1863">
              <w:rPr>
                <w:sz w:val="22"/>
              </w:rPr>
              <w:t>204</w:t>
            </w:r>
          </w:p>
        </w:tc>
        <w:tc>
          <w:tcPr>
            <w:tcW w:w="1873" w:type="dxa"/>
            <w:vAlign w:val="center"/>
          </w:tcPr>
          <w:p w14:paraId="4A171DA6" w14:textId="6F2F88D5" w:rsidR="00C64609" w:rsidRPr="00BE1863" w:rsidRDefault="00C64609" w:rsidP="00C64609">
            <w:pPr>
              <w:pStyle w:val="ListParagraph"/>
              <w:ind w:left="0"/>
              <w:jc w:val="center"/>
              <w:rPr>
                <w:sz w:val="22"/>
              </w:rPr>
            </w:pPr>
            <w:r w:rsidRPr="00BE1863">
              <w:rPr>
                <w:sz w:val="22"/>
              </w:rPr>
              <w:t>639</w:t>
            </w:r>
          </w:p>
        </w:tc>
        <w:tc>
          <w:tcPr>
            <w:tcW w:w="1895" w:type="dxa"/>
            <w:vAlign w:val="center"/>
          </w:tcPr>
          <w:p w14:paraId="73D93A00" w14:textId="7FDCBAA3" w:rsidR="00C64609" w:rsidRPr="00BE1863" w:rsidRDefault="00C64609" w:rsidP="00C64609">
            <w:pPr>
              <w:pStyle w:val="ListParagraph"/>
              <w:ind w:left="0"/>
              <w:jc w:val="center"/>
              <w:rPr>
                <w:sz w:val="22"/>
              </w:rPr>
            </w:pPr>
            <w:r w:rsidRPr="00BE1863">
              <w:rPr>
                <w:sz w:val="22"/>
              </w:rPr>
              <w:t>1,639</w:t>
            </w:r>
          </w:p>
        </w:tc>
      </w:tr>
      <w:tr w:rsidR="00C64609" w:rsidRPr="00710976" w14:paraId="2A6FD965" w14:textId="77777777" w:rsidTr="00C64609">
        <w:trPr>
          <w:trHeight w:val="288"/>
        </w:trPr>
        <w:tc>
          <w:tcPr>
            <w:tcW w:w="1867" w:type="dxa"/>
            <w:vAlign w:val="center"/>
          </w:tcPr>
          <w:p w14:paraId="76091F43" w14:textId="1100BA9B" w:rsidR="00C64609" w:rsidRPr="00BE1863" w:rsidRDefault="00C64609" w:rsidP="00C64609">
            <w:pPr>
              <w:pStyle w:val="ListParagraph"/>
              <w:ind w:left="0"/>
              <w:jc w:val="center"/>
              <w:rPr>
                <w:sz w:val="22"/>
              </w:rPr>
            </w:pPr>
            <w:r w:rsidRPr="00BE1863">
              <w:rPr>
                <w:sz w:val="22"/>
              </w:rPr>
              <w:t>2016</w:t>
            </w:r>
          </w:p>
        </w:tc>
        <w:tc>
          <w:tcPr>
            <w:tcW w:w="1858" w:type="dxa"/>
            <w:vAlign w:val="center"/>
          </w:tcPr>
          <w:p w14:paraId="57013AA9" w14:textId="2289BFF7" w:rsidR="00C64609" w:rsidRPr="00BE1863" w:rsidRDefault="00C64609" w:rsidP="00C64609">
            <w:pPr>
              <w:pStyle w:val="ListParagraph"/>
              <w:ind w:left="0"/>
              <w:jc w:val="center"/>
              <w:rPr>
                <w:sz w:val="22"/>
              </w:rPr>
            </w:pPr>
            <w:r w:rsidRPr="00BE1863">
              <w:rPr>
                <w:sz w:val="22"/>
              </w:rPr>
              <w:t>892</w:t>
            </w:r>
          </w:p>
        </w:tc>
        <w:tc>
          <w:tcPr>
            <w:tcW w:w="1857" w:type="dxa"/>
            <w:vAlign w:val="center"/>
          </w:tcPr>
          <w:p w14:paraId="65343FD5" w14:textId="332C9EBD" w:rsidR="00C64609" w:rsidRPr="00BE1863" w:rsidRDefault="00C64609" w:rsidP="00C64609">
            <w:pPr>
              <w:pStyle w:val="ListParagraph"/>
              <w:ind w:left="0"/>
              <w:jc w:val="center"/>
              <w:rPr>
                <w:sz w:val="22"/>
              </w:rPr>
            </w:pPr>
            <w:r w:rsidRPr="00BE1863">
              <w:rPr>
                <w:sz w:val="22"/>
              </w:rPr>
              <w:t>308</w:t>
            </w:r>
          </w:p>
        </w:tc>
        <w:tc>
          <w:tcPr>
            <w:tcW w:w="1873" w:type="dxa"/>
            <w:vAlign w:val="center"/>
          </w:tcPr>
          <w:p w14:paraId="2081B170" w14:textId="162B6B99" w:rsidR="00C64609" w:rsidRPr="00BE1863" w:rsidRDefault="00C64609" w:rsidP="00C64609">
            <w:pPr>
              <w:pStyle w:val="ListParagraph"/>
              <w:ind w:left="0"/>
              <w:jc w:val="center"/>
              <w:rPr>
                <w:sz w:val="22"/>
              </w:rPr>
            </w:pPr>
            <w:r w:rsidRPr="00BE1863">
              <w:rPr>
                <w:sz w:val="22"/>
              </w:rPr>
              <w:t>620</w:t>
            </w:r>
          </w:p>
        </w:tc>
        <w:tc>
          <w:tcPr>
            <w:tcW w:w="1895" w:type="dxa"/>
            <w:vAlign w:val="center"/>
          </w:tcPr>
          <w:p w14:paraId="2A80CE1C" w14:textId="0CF6A5E0" w:rsidR="00C64609" w:rsidRPr="00BE1863" w:rsidRDefault="00C64609" w:rsidP="00C64609">
            <w:pPr>
              <w:pStyle w:val="ListParagraph"/>
              <w:ind w:left="0"/>
              <w:jc w:val="center"/>
              <w:rPr>
                <w:sz w:val="22"/>
              </w:rPr>
            </w:pPr>
            <w:r w:rsidRPr="00BE1863">
              <w:rPr>
                <w:sz w:val="22"/>
              </w:rPr>
              <w:t>1,820</w:t>
            </w:r>
          </w:p>
        </w:tc>
      </w:tr>
      <w:tr w:rsidR="00C64609" w:rsidRPr="00710976" w14:paraId="3D9F38C7" w14:textId="77777777" w:rsidTr="00C64609">
        <w:trPr>
          <w:trHeight w:val="288"/>
        </w:trPr>
        <w:tc>
          <w:tcPr>
            <w:tcW w:w="1867" w:type="dxa"/>
            <w:vAlign w:val="center"/>
          </w:tcPr>
          <w:p w14:paraId="1FF3CDA3" w14:textId="0F07FBA3" w:rsidR="00C64609" w:rsidRPr="00BE1863" w:rsidRDefault="00C64609" w:rsidP="00C64609">
            <w:pPr>
              <w:pStyle w:val="ListParagraph"/>
              <w:ind w:left="0"/>
              <w:jc w:val="center"/>
              <w:rPr>
                <w:sz w:val="22"/>
              </w:rPr>
            </w:pPr>
            <w:r w:rsidRPr="00BE1863">
              <w:rPr>
                <w:sz w:val="22"/>
              </w:rPr>
              <w:t>2017</w:t>
            </w:r>
          </w:p>
        </w:tc>
        <w:tc>
          <w:tcPr>
            <w:tcW w:w="1858" w:type="dxa"/>
            <w:vAlign w:val="center"/>
          </w:tcPr>
          <w:p w14:paraId="6724A6CD" w14:textId="377EB589" w:rsidR="00C64609" w:rsidRPr="00BE1863" w:rsidRDefault="00C64609" w:rsidP="00C64609">
            <w:pPr>
              <w:pStyle w:val="ListParagraph"/>
              <w:ind w:left="0"/>
              <w:jc w:val="center"/>
              <w:rPr>
                <w:sz w:val="22"/>
              </w:rPr>
            </w:pPr>
            <w:r w:rsidRPr="00BE1863">
              <w:rPr>
                <w:sz w:val="22"/>
              </w:rPr>
              <w:t>1,583</w:t>
            </w:r>
          </w:p>
        </w:tc>
        <w:tc>
          <w:tcPr>
            <w:tcW w:w="1857" w:type="dxa"/>
            <w:vAlign w:val="center"/>
          </w:tcPr>
          <w:p w14:paraId="041FF658" w14:textId="11C223A0" w:rsidR="00C64609" w:rsidRPr="00BE1863" w:rsidRDefault="00C64609" w:rsidP="00C64609">
            <w:pPr>
              <w:pStyle w:val="ListParagraph"/>
              <w:ind w:left="0"/>
              <w:jc w:val="center"/>
              <w:rPr>
                <w:sz w:val="22"/>
              </w:rPr>
            </w:pPr>
            <w:r w:rsidRPr="00BE1863">
              <w:rPr>
                <w:sz w:val="22"/>
              </w:rPr>
              <w:t>306</w:t>
            </w:r>
          </w:p>
        </w:tc>
        <w:tc>
          <w:tcPr>
            <w:tcW w:w="1873" w:type="dxa"/>
            <w:vAlign w:val="center"/>
          </w:tcPr>
          <w:p w14:paraId="593A48B6" w14:textId="4D466426" w:rsidR="00C64609" w:rsidRPr="00BE1863" w:rsidRDefault="00C64609" w:rsidP="00C64609">
            <w:pPr>
              <w:pStyle w:val="ListParagraph"/>
              <w:ind w:left="0"/>
              <w:jc w:val="center"/>
              <w:rPr>
                <w:sz w:val="22"/>
              </w:rPr>
            </w:pPr>
            <w:r w:rsidRPr="00BE1863">
              <w:rPr>
                <w:sz w:val="22"/>
              </w:rPr>
              <w:t>488</w:t>
            </w:r>
          </w:p>
        </w:tc>
        <w:tc>
          <w:tcPr>
            <w:tcW w:w="1895" w:type="dxa"/>
            <w:vAlign w:val="center"/>
          </w:tcPr>
          <w:p w14:paraId="2C04578B" w14:textId="72828444" w:rsidR="00C64609" w:rsidRPr="00BE1863" w:rsidRDefault="00C64609" w:rsidP="00C64609">
            <w:pPr>
              <w:pStyle w:val="ListParagraph"/>
              <w:ind w:left="0"/>
              <w:jc w:val="center"/>
              <w:rPr>
                <w:sz w:val="22"/>
              </w:rPr>
            </w:pPr>
            <w:r w:rsidRPr="00BE1863">
              <w:rPr>
                <w:sz w:val="22"/>
              </w:rPr>
              <w:t>2,377</w:t>
            </w:r>
          </w:p>
        </w:tc>
      </w:tr>
      <w:tr w:rsidR="00C64609" w:rsidRPr="00710976" w14:paraId="7CBB2F81" w14:textId="77777777" w:rsidTr="00C64609">
        <w:trPr>
          <w:trHeight w:val="288"/>
        </w:trPr>
        <w:tc>
          <w:tcPr>
            <w:tcW w:w="1867" w:type="dxa"/>
            <w:vAlign w:val="center"/>
          </w:tcPr>
          <w:p w14:paraId="2051F67F" w14:textId="09276A69" w:rsidR="00C64609" w:rsidRPr="00BE1863" w:rsidRDefault="00C64609" w:rsidP="00C64609">
            <w:pPr>
              <w:pStyle w:val="ListParagraph"/>
              <w:ind w:left="0"/>
              <w:jc w:val="center"/>
              <w:rPr>
                <w:sz w:val="22"/>
              </w:rPr>
            </w:pPr>
            <w:r w:rsidRPr="00BE1863">
              <w:rPr>
                <w:sz w:val="22"/>
              </w:rPr>
              <w:t>2018</w:t>
            </w:r>
          </w:p>
        </w:tc>
        <w:tc>
          <w:tcPr>
            <w:tcW w:w="1858" w:type="dxa"/>
            <w:vAlign w:val="center"/>
          </w:tcPr>
          <w:p w14:paraId="036A3591" w14:textId="202E921F" w:rsidR="00C64609" w:rsidRPr="00BE1863" w:rsidRDefault="00C64609" w:rsidP="00C64609">
            <w:pPr>
              <w:pStyle w:val="ListParagraph"/>
              <w:ind w:left="0"/>
              <w:jc w:val="center"/>
              <w:rPr>
                <w:sz w:val="22"/>
              </w:rPr>
            </w:pPr>
            <w:r w:rsidRPr="00BE1863">
              <w:rPr>
                <w:sz w:val="22"/>
              </w:rPr>
              <w:t>1,282</w:t>
            </w:r>
          </w:p>
        </w:tc>
        <w:tc>
          <w:tcPr>
            <w:tcW w:w="1857" w:type="dxa"/>
            <w:vAlign w:val="center"/>
          </w:tcPr>
          <w:p w14:paraId="1C959D79" w14:textId="1A957F2B" w:rsidR="00C64609" w:rsidRPr="00BE1863" w:rsidRDefault="00C64609" w:rsidP="00C64609">
            <w:pPr>
              <w:pStyle w:val="ListParagraph"/>
              <w:ind w:left="0"/>
              <w:jc w:val="center"/>
              <w:rPr>
                <w:sz w:val="22"/>
              </w:rPr>
            </w:pPr>
            <w:r w:rsidRPr="00BE1863">
              <w:rPr>
                <w:sz w:val="22"/>
              </w:rPr>
              <w:t>251</w:t>
            </w:r>
          </w:p>
        </w:tc>
        <w:tc>
          <w:tcPr>
            <w:tcW w:w="1873" w:type="dxa"/>
            <w:vAlign w:val="center"/>
          </w:tcPr>
          <w:p w14:paraId="32C6DB5D" w14:textId="48395228" w:rsidR="00C64609" w:rsidRPr="00BE1863" w:rsidRDefault="00C64609" w:rsidP="00C64609">
            <w:pPr>
              <w:pStyle w:val="ListParagraph"/>
              <w:ind w:left="0"/>
              <w:jc w:val="center"/>
              <w:rPr>
                <w:sz w:val="22"/>
              </w:rPr>
            </w:pPr>
            <w:r w:rsidRPr="00BE1863">
              <w:rPr>
                <w:sz w:val="22"/>
              </w:rPr>
              <w:t>333</w:t>
            </w:r>
          </w:p>
        </w:tc>
        <w:tc>
          <w:tcPr>
            <w:tcW w:w="1895" w:type="dxa"/>
            <w:vAlign w:val="center"/>
          </w:tcPr>
          <w:p w14:paraId="11DA3F4D" w14:textId="7480064C" w:rsidR="00C64609" w:rsidRPr="00BE1863" w:rsidRDefault="00C64609" w:rsidP="00C64609">
            <w:pPr>
              <w:pStyle w:val="ListParagraph"/>
              <w:ind w:left="0"/>
              <w:jc w:val="center"/>
              <w:rPr>
                <w:sz w:val="22"/>
              </w:rPr>
            </w:pPr>
            <w:r w:rsidRPr="00BE1863">
              <w:rPr>
                <w:sz w:val="22"/>
              </w:rPr>
              <w:t>1,866</w:t>
            </w:r>
          </w:p>
        </w:tc>
      </w:tr>
      <w:tr w:rsidR="00C64609" w:rsidRPr="00710976" w14:paraId="6AAE2DD2" w14:textId="77777777" w:rsidTr="00C64609">
        <w:trPr>
          <w:trHeight w:val="288"/>
        </w:trPr>
        <w:tc>
          <w:tcPr>
            <w:tcW w:w="1867" w:type="dxa"/>
            <w:shd w:val="clear" w:color="auto" w:fill="BFBFBF" w:themeFill="background1" w:themeFillShade="BF"/>
            <w:vAlign w:val="center"/>
          </w:tcPr>
          <w:p w14:paraId="341A7375" w14:textId="57B56A55" w:rsidR="00C64609" w:rsidRPr="00BE1863" w:rsidRDefault="00C64609" w:rsidP="00C64609">
            <w:pPr>
              <w:pStyle w:val="ListParagraph"/>
              <w:ind w:left="0"/>
              <w:jc w:val="center"/>
              <w:rPr>
                <w:b/>
                <w:sz w:val="22"/>
              </w:rPr>
            </w:pPr>
            <w:r w:rsidRPr="00BE1863">
              <w:rPr>
                <w:b/>
                <w:sz w:val="22"/>
              </w:rPr>
              <w:t>Total</w:t>
            </w:r>
          </w:p>
        </w:tc>
        <w:tc>
          <w:tcPr>
            <w:tcW w:w="1858" w:type="dxa"/>
            <w:shd w:val="clear" w:color="auto" w:fill="BFBFBF" w:themeFill="background1" w:themeFillShade="BF"/>
            <w:vAlign w:val="center"/>
          </w:tcPr>
          <w:p w14:paraId="75CC1243" w14:textId="07C6B4A9" w:rsidR="00C64609" w:rsidRPr="00BE1863" w:rsidRDefault="00C64609" w:rsidP="00C64609">
            <w:pPr>
              <w:pStyle w:val="ListParagraph"/>
              <w:ind w:left="0"/>
              <w:jc w:val="center"/>
              <w:rPr>
                <w:b/>
                <w:sz w:val="22"/>
              </w:rPr>
            </w:pPr>
            <w:r w:rsidRPr="00BE1863">
              <w:rPr>
                <w:b/>
                <w:sz w:val="22"/>
              </w:rPr>
              <w:t>5,900</w:t>
            </w:r>
          </w:p>
        </w:tc>
        <w:tc>
          <w:tcPr>
            <w:tcW w:w="1857" w:type="dxa"/>
            <w:shd w:val="clear" w:color="auto" w:fill="BFBFBF" w:themeFill="background1" w:themeFillShade="BF"/>
            <w:vAlign w:val="center"/>
          </w:tcPr>
          <w:p w14:paraId="30E58E79" w14:textId="3570CE34" w:rsidR="00C64609" w:rsidRPr="00BE1863" w:rsidRDefault="00C64609" w:rsidP="00C64609">
            <w:pPr>
              <w:pStyle w:val="ListParagraph"/>
              <w:ind w:left="0"/>
              <w:jc w:val="center"/>
              <w:rPr>
                <w:b/>
                <w:sz w:val="22"/>
              </w:rPr>
            </w:pPr>
            <w:r w:rsidRPr="00BE1863">
              <w:rPr>
                <w:b/>
                <w:sz w:val="22"/>
              </w:rPr>
              <w:t>1,300</w:t>
            </w:r>
          </w:p>
        </w:tc>
        <w:tc>
          <w:tcPr>
            <w:tcW w:w="1873" w:type="dxa"/>
            <w:shd w:val="clear" w:color="auto" w:fill="BFBFBF" w:themeFill="background1" w:themeFillShade="BF"/>
            <w:vAlign w:val="center"/>
          </w:tcPr>
          <w:p w14:paraId="719794CA" w14:textId="70FBB15D" w:rsidR="00C64609" w:rsidRPr="00BE1863" w:rsidRDefault="00C64609" w:rsidP="00C64609">
            <w:pPr>
              <w:pStyle w:val="ListParagraph"/>
              <w:ind w:left="0"/>
              <w:jc w:val="center"/>
              <w:rPr>
                <w:b/>
                <w:sz w:val="22"/>
              </w:rPr>
            </w:pPr>
            <w:r w:rsidRPr="00BE1863">
              <w:rPr>
                <w:b/>
                <w:sz w:val="22"/>
              </w:rPr>
              <w:t>2,600</w:t>
            </w:r>
          </w:p>
        </w:tc>
        <w:tc>
          <w:tcPr>
            <w:tcW w:w="1895" w:type="dxa"/>
            <w:shd w:val="clear" w:color="auto" w:fill="BFBFBF" w:themeFill="background1" w:themeFillShade="BF"/>
            <w:vAlign w:val="center"/>
          </w:tcPr>
          <w:p w14:paraId="5F340B9B" w14:textId="067EED2A" w:rsidR="00C64609" w:rsidRPr="00BE1863" w:rsidRDefault="00C64609" w:rsidP="00C64609">
            <w:pPr>
              <w:pStyle w:val="ListParagraph"/>
              <w:ind w:left="0"/>
              <w:jc w:val="center"/>
              <w:rPr>
                <w:b/>
                <w:sz w:val="22"/>
              </w:rPr>
            </w:pPr>
            <w:r w:rsidRPr="00BE1863">
              <w:rPr>
                <w:b/>
                <w:sz w:val="22"/>
              </w:rPr>
              <w:t>9,800</w:t>
            </w:r>
          </w:p>
        </w:tc>
      </w:tr>
      <w:tr w:rsidR="00C64609" w:rsidRPr="00710976" w14:paraId="69FAFDF1" w14:textId="77777777" w:rsidTr="00C64609">
        <w:trPr>
          <w:trHeight w:val="288"/>
        </w:trPr>
        <w:tc>
          <w:tcPr>
            <w:tcW w:w="1867" w:type="dxa"/>
            <w:shd w:val="clear" w:color="auto" w:fill="BFBFBF" w:themeFill="background1" w:themeFillShade="BF"/>
            <w:vAlign w:val="center"/>
          </w:tcPr>
          <w:p w14:paraId="3720BC70" w14:textId="459E2DBC" w:rsidR="00C64609" w:rsidRPr="00BE1863" w:rsidRDefault="00C64609" w:rsidP="00C64609">
            <w:pPr>
              <w:pStyle w:val="ListParagraph"/>
              <w:ind w:left="0"/>
              <w:jc w:val="center"/>
              <w:rPr>
                <w:b/>
                <w:sz w:val="22"/>
              </w:rPr>
            </w:pPr>
            <w:r w:rsidRPr="00BE1863">
              <w:rPr>
                <w:b/>
                <w:sz w:val="22"/>
              </w:rPr>
              <w:t>Average</w:t>
            </w:r>
          </w:p>
        </w:tc>
        <w:tc>
          <w:tcPr>
            <w:tcW w:w="1858" w:type="dxa"/>
            <w:shd w:val="clear" w:color="auto" w:fill="BFBFBF" w:themeFill="background1" w:themeFillShade="BF"/>
            <w:vAlign w:val="center"/>
          </w:tcPr>
          <w:p w14:paraId="7DE9E4C8" w14:textId="663EBA9F" w:rsidR="00C64609" w:rsidRPr="00BE1863" w:rsidRDefault="00C64609" w:rsidP="00C64609">
            <w:pPr>
              <w:pStyle w:val="ListParagraph"/>
              <w:ind w:left="0"/>
              <w:jc w:val="center"/>
              <w:rPr>
                <w:b/>
                <w:sz w:val="22"/>
              </w:rPr>
            </w:pPr>
            <w:r w:rsidRPr="00BE1863">
              <w:rPr>
                <w:b/>
                <w:sz w:val="22"/>
              </w:rPr>
              <w:t>980</w:t>
            </w:r>
          </w:p>
        </w:tc>
        <w:tc>
          <w:tcPr>
            <w:tcW w:w="1857" w:type="dxa"/>
            <w:shd w:val="clear" w:color="auto" w:fill="BFBFBF" w:themeFill="background1" w:themeFillShade="BF"/>
            <w:vAlign w:val="center"/>
          </w:tcPr>
          <w:p w14:paraId="10FAD388" w14:textId="49545EF9" w:rsidR="00C64609" w:rsidRPr="00BE1863" w:rsidRDefault="00C64609" w:rsidP="00C64609">
            <w:pPr>
              <w:pStyle w:val="ListParagraph"/>
              <w:ind w:left="0"/>
              <w:jc w:val="center"/>
              <w:rPr>
                <w:b/>
                <w:sz w:val="22"/>
              </w:rPr>
            </w:pPr>
            <w:r w:rsidRPr="00BE1863">
              <w:rPr>
                <w:b/>
                <w:sz w:val="22"/>
              </w:rPr>
              <w:t>220</w:t>
            </w:r>
          </w:p>
        </w:tc>
        <w:tc>
          <w:tcPr>
            <w:tcW w:w="1873" w:type="dxa"/>
            <w:shd w:val="clear" w:color="auto" w:fill="BFBFBF" w:themeFill="background1" w:themeFillShade="BF"/>
            <w:vAlign w:val="center"/>
          </w:tcPr>
          <w:p w14:paraId="0191BA16" w14:textId="6F7BAAE5" w:rsidR="00C64609" w:rsidRPr="00BE1863" w:rsidRDefault="00C64609" w:rsidP="00C64609">
            <w:pPr>
              <w:pStyle w:val="ListParagraph"/>
              <w:ind w:left="0"/>
              <w:jc w:val="center"/>
              <w:rPr>
                <w:b/>
                <w:sz w:val="22"/>
              </w:rPr>
            </w:pPr>
            <w:r w:rsidRPr="00BE1863">
              <w:rPr>
                <w:b/>
                <w:sz w:val="22"/>
              </w:rPr>
              <w:t>440</w:t>
            </w:r>
          </w:p>
        </w:tc>
        <w:tc>
          <w:tcPr>
            <w:tcW w:w="1895" w:type="dxa"/>
            <w:shd w:val="clear" w:color="auto" w:fill="BFBFBF" w:themeFill="background1" w:themeFillShade="BF"/>
            <w:vAlign w:val="center"/>
          </w:tcPr>
          <w:p w14:paraId="4E9CA1E0" w14:textId="2C5A1686" w:rsidR="00C64609" w:rsidRPr="00BE1863" w:rsidRDefault="00C64609" w:rsidP="00C64609">
            <w:pPr>
              <w:pStyle w:val="ListParagraph"/>
              <w:ind w:left="0"/>
              <w:jc w:val="center"/>
              <w:rPr>
                <w:b/>
                <w:sz w:val="22"/>
              </w:rPr>
            </w:pPr>
            <w:r w:rsidRPr="00BE1863">
              <w:rPr>
                <w:b/>
                <w:sz w:val="22"/>
              </w:rPr>
              <w:t>1,640</w:t>
            </w:r>
          </w:p>
        </w:tc>
      </w:tr>
    </w:tbl>
    <w:p w14:paraId="1FC44550" w14:textId="241527A2" w:rsidR="00C81C6A" w:rsidRPr="00150A19" w:rsidRDefault="00C81C6A" w:rsidP="00494FEF">
      <w:pPr>
        <w:pStyle w:val="ListParagraph"/>
        <w:ind w:left="0"/>
        <w:rPr>
          <w:szCs w:val="24"/>
        </w:rPr>
      </w:pPr>
    </w:p>
    <w:p w14:paraId="1DA17231" w14:textId="456CA759" w:rsidR="00C81C6A" w:rsidRDefault="00C81C6A" w:rsidP="00494FEF">
      <w:pPr>
        <w:pStyle w:val="ListParagraph"/>
        <w:ind w:left="0"/>
        <w:rPr>
          <w:szCs w:val="24"/>
        </w:rPr>
      </w:pPr>
      <w:r>
        <w:rPr>
          <w:szCs w:val="24"/>
        </w:rPr>
        <w:t xml:space="preserve">The EDO is working with the CPNRD to update the computational tools for estimating the timing and volume of </w:t>
      </w:r>
      <w:r w:rsidR="0075567F">
        <w:rPr>
          <w:szCs w:val="24"/>
        </w:rPr>
        <w:t xml:space="preserve">baseflow accretions from recharge in the three canals.  As reliable </w:t>
      </w:r>
      <w:r w:rsidR="00E74381">
        <w:rPr>
          <w:szCs w:val="24"/>
        </w:rPr>
        <w:t xml:space="preserve">supporting </w:t>
      </w:r>
      <w:r w:rsidR="0075567F">
        <w:rPr>
          <w:szCs w:val="24"/>
        </w:rPr>
        <w:t>data is not yet available, this accounting memo does not include routing to Grand Island or calculation of shortage reduction credits.  It is anticipated that such information will be included in the next iteration of this memo.</w:t>
      </w:r>
    </w:p>
    <w:p w14:paraId="354936F9" w14:textId="77777777" w:rsidR="00494FEF" w:rsidRDefault="00494FEF" w:rsidP="00B9798C">
      <w:pPr>
        <w:pStyle w:val="ListParagraph"/>
        <w:numPr>
          <w:ilvl w:val="0"/>
          <w:numId w:val="4"/>
        </w:numPr>
        <w:spacing w:before="240" w:after="240"/>
        <w:rPr>
          <w:b/>
        </w:rPr>
      </w:pPr>
      <w:r>
        <w:rPr>
          <w:b/>
        </w:rPr>
        <w:t>NPPD Canal Recharge</w:t>
      </w:r>
    </w:p>
    <w:p w14:paraId="54CEAF7E" w14:textId="0AF9ACC6" w:rsidR="00494FEF" w:rsidRDefault="00F56730" w:rsidP="00494FEF">
      <w:pPr>
        <w:rPr>
          <w:szCs w:val="24"/>
        </w:rPr>
      </w:pPr>
      <w:r>
        <w:rPr>
          <w:szCs w:val="24"/>
        </w:rPr>
        <w:t xml:space="preserve">The Program first signed a WSA with the NPPD for </w:t>
      </w:r>
      <w:r w:rsidR="007E318D">
        <w:rPr>
          <w:szCs w:val="24"/>
        </w:rPr>
        <w:t xml:space="preserve">groundwater recharge in the Gothenburg and Dawson County Canals in 2015, and non-irrigation season diversions of excess flows were first made in September of that year.  The current WSA, included in </w:t>
      </w:r>
      <w:r w:rsidR="007E318D" w:rsidRPr="007E318D">
        <w:rPr>
          <w:b/>
          <w:szCs w:val="24"/>
        </w:rPr>
        <w:t xml:space="preserve">Appendix </w:t>
      </w:r>
      <w:r w:rsidR="00E27C8F">
        <w:rPr>
          <w:b/>
          <w:szCs w:val="24"/>
        </w:rPr>
        <w:t>F</w:t>
      </w:r>
      <w:r w:rsidR="007E318D">
        <w:rPr>
          <w:szCs w:val="24"/>
        </w:rPr>
        <w:t xml:space="preserve">, went into effect on January 1, 2017 and expires December 31, 2019, at the end of the Program’s First Increment.  In order to operate the recharge project each year, the NPPD must apply for and secure new temporary diversion permits from the NDNR; the permits that were in effect </w:t>
      </w:r>
      <w:r w:rsidR="00AD51C3">
        <w:rPr>
          <w:szCs w:val="24"/>
        </w:rPr>
        <w:t xml:space="preserve">during calendar year 2018 </w:t>
      </w:r>
      <w:r w:rsidR="007E318D">
        <w:rPr>
          <w:szCs w:val="24"/>
        </w:rPr>
        <w:t xml:space="preserve">are also included in </w:t>
      </w:r>
      <w:r w:rsidR="007E318D" w:rsidRPr="007E318D">
        <w:rPr>
          <w:b/>
          <w:szCs w:val="24"/>
        </w:rPr>
        <w:t xml:space="preserve">Appendix </w:t>
      </w:r>
      <w:r w:rsidR="00E27C8F">
        <w:rPr>
          <w:b/>
          <w:szCs w:val="24"/>
        </w:rPr>
        <w:t>F</w:t>
      </w:r>
      <w:r w:rsidR="007E318D">
        <w:rPr>
          <w:szCs w:val="24"/>
        </w:rPr>
        <w:t>.</w:t>
      </w:r>
      <w:r w:rsidR="00E842C7">
        <w:rPr>
          <w:szCs w:val="24"/>
        </w:rPr>
        <w:t xml:space="preserve">  </w:t>
      </w:r>
    </w:p>
    <w:p w14:paraId="7F8A5759" w14:textId="7945FC78" w:rsidR="00D7641D" w:rsidRDefault="00D7641D" w:rsidP="00494FEF">
      <w:pPr>
        <w:rPr>
          <w:szCs w:val="24"/>
        </w:rPr>
      </w:pPr>
    </w:p>
    <w:p w14:paraId="0CF393A3" w14:textId="0CF4B00C" w:rsidR="00D7641D" w:rsidRDefault="00D7641D" w:rsidP="00494FEF">
      <w:pPr>
        <w:rPr>
          <w:szCs w:val="24"/>
        </w:rPr>
      </w:pPr>
      <w:r>
        <w:rPr>
          <w:szCs w:val="24"/>
        </w:rPr>
        <w:t xml:space="preserve">Per the terms of the WSA, the NPPD bills the Program for net recharge, calculated as diversions measured at the canal headgates minus measured returns.  There were no recharge diversions into the Gothenburg Canal </w:t>
      </w:r>
      <w:r w:rsidR="00A14D6D">
        <w:rPr>
          <w:szCs w:val="24"/>
        </w:rPr>
        <w:t>during spring 2018</w:t>
      </w:r>
      <w:r w:rsidR="00102144">
        <w:rPr>
          <w:szCs w:val="24"/>
        </w:rPr>
        <w:t>; in fall 2018, 680 AF were diverted from the river resulting in 617 AF of net recharge</w:t>
      </w:r>
      <w:r>
        <w:rPr>
          <w:szCs w:val="24"/>
        </w:rPr>
        <w:t xml:space="preserve">.  </w:t>
      </w:r>
      <w:r w:rsidR="00102144">
        <w:rPr>
          <w:szCs w:val="24"/>
        </w:rPr>
        <w:t>Likewise, spring 2018 saw no recharge diversions</w:t>
      </w:r>
      <w:r>
        <w:rPr>
          <w:szCs w:val="24"/>
        </w:rPr>
        <w:t xml:space="preserve"> into the Dawson County Canal </w:t>
      </w:r>
      <w:r w:rsidR="00102144">
        <w:rPr>
          <w:szCs w:val="24"/>
        </w:rPr>
        <w:t>but fall 2018 diversions of 2,666 AF produced 2,084</w:t>
      </w:r>
      <w:r>
        <w:rPr>
          <w:szCs w:val="24"/>
        </w:rPr>
        <w:t xml:space="preserve"> AF of net recharge.</w:t>
      </w:r>
      <w:r w:rsidR="00533425">
        <w:rPr>
          <w:szCs w:val="24"/>
        </w:rPr>
        <w:t xml:space="preserve">  </w:t>
      </w:r>
      <w:r w:rsidR="00533425" w:rsidRPr="00533425">
        <w:rPr>
          <w:b/>
          <w:szCs w:val="24"/>
        </w:rPr>
        <w:t xml:space="preserve">Table </w:t>
      </w:r>
      <w:r w:rsidR="00E27C8F">
        <w:rPr>
          <w:b/>
          <w:szCs w:val="24"/>
        </w:rPr>
        <w:t>7</w:t>
      </w:r>
      <w:r w:rsidR="00E27C8F">
        <w:rPr>
          <w:szCs w:val="24"/>
        </w:rPr>
        <w:t xml:space="preserve"> </w:t>
      </w:r>
      <w:r w:rsidR="00533425">
        <w:rPr>
          <w:szCs w:val="24"/>
        </w:rPr>
        <w:t xml:space="preserve">shows the diversion and </w:t>
      </w:r>
      <w:r w:rsidR="009420EB">
        <w:rPr>
          <w:szCs w:val="24"/>
        </w:rPr>
        <w:t xml:space="preserve">net </w:t>
      </w:r>
      <w:r w:rsidR="00533425">
        <w:rPr>
          <w:szCs w:val="24"/>
        </w:rPr>
        <w:t>recharge volumes for the NPPD canals</w:t>
      </w:r>
      <w:r w:rsidR="009420EB">
        <w:rPr>
          <w:szCs w:val="24"/>
        </w:rPr>
        <w:t>; data is presented on a seasonal basis to emphasize the differences between spring and fall recharge diversions</w:t>
      </w:r>
      <w:r w:rsidR="00533425">
        <w:rPr>
          <w:szCs w:val="24"/>
        </w:rPr>
        <w:t>.</w:t>
      </w:r>
      <w:r w:rsidR="00150A19">
        <w:rPr>
          <w:szCs w:val="24"/>
        </w:rPr>
        <w:t xml:space="preserve">  Values are based on invoices and supporting data submitted to the Program, as well as recharge reports prepared by NPPD for the NDNR.</w:t>
      </w:r>
    </w:p>
    <w:p w14:paraId="21416911" w14:textId="77777777" w:rsidR="00F833FF" w:rsidRDefault="00F833FF" w:rsidP="00494FEF">
      <w:pPr>
        <w:rPr>
          <w:szCs w:val="24"/>
        </w:rPr>
      </w:pPr>
    </w:p>
    <w:p w14:paraId="3AEF4819" w14:textId="77777777" w:rsidR="005E703D" w:rsidRDefault="005E703D">
      <w:pPr>
        <w:rPr>
          <w:b/>
          <w:sz w:val="22"/>
        </w:rPr>
      </w:pPr>
      <w:r>
        <w:rPr>
          <w:b/>
          <w:sz w:val="22"/>
        </w:rPr>
        <w:br w:type="page"/>
      </w:r>
    </w:p>
    <w:p w14:paraId="4810EED3" w14:textId="2212730F" w:rsidR="00533425" w:rsidRPr="00D70C11" w:rsidRDefault="00F833FF" w:rsidP="00494FEF">
      <w:pPr>
        <w:rPr>
          <w:b/>
          <w:sz w:val="22"/>
        </w:rPr>
      </w:pPr>
      <w:r w:rsidRPr="00D70C11">
        <w:rPr>
          <w:b/>
          <w:sz w:val="22"/>
        </w:rPr>
        <w:lastRenderedPageBreak/>
        <w:t xml:space="preserve">Table </w:t>
      </w:r>
      <w:r w:rsidR="00E27C8F">
        <w:rPr>
          <w:b/>
          <w:sz w:val="22"/>
        </w:rPr>
        <w:t>7</w:t>
      </w:r>
      <w:r w:rsidRPr="00D70C11">
        <w:rPr>
          <w:b/>
          <w:sz w:val="22"/>
        </w:rPr>
        <w:t>.  NPPD Canal Diversions and Net Recharge</w:t>
      </w:r>
    </w:p>
    <w:tbl>
      <w:tblPr>
        <w:tblStyle w:val="TableGrid"/>
        <w:tblW w:w="0" w:type="auto"/>
        <w:tblLook w:val="04A0" w:firstRow="1" w:lastRow="0" w:firstColumn="1" w:lastColumn="0" w:noHBand="0" w:noVBand="1"/>
      </w:tblPr>
      <w:tblGrid>
        <w:gridCol w:w="1859"/>
        <w:gridCol w:w="1873"/>
        <w:gridCol w:w="1872"/>
        <w:gridCol w:w="1873"/>
        <w:gridCol w:w="1873"/>
      </w:tblGrid>
      <w:tr w:rsidR="00F833FF" w:rsidRPr="00D70C11" w14:paraId="7E397BD1" w14:textId="77777777" w:rsidTr="00295071">
        <w:tc>
          <w:tcPr>
            <w:tcW w:w="1859" w:type="dxa"/>
            <w:vMerge w:val="restart"/>
            <w:shd w:val="clear" w:color="auto" w:fill="C2D69B" w:themeFill="accent3" w:themeFillTint="99"/>
            <w:vAlign w:val="bottom"/>
          </w:tcPr>
          <w:p w14:paraId="28866E45" w14:textId="536C901D" w:rsidR="00F833FF" w:rsidRPr="00BE1863" w:rsidRDefault="00F833FF" w:rsidP="00F833FF">
            <w:pPr>
              <w:jc w:val="center"/>
              <w:rPr>
                <w:b/>
                <w:sz w:val="22"/>
              </w:rPr>
            </w:pPr>
            <w:r w:rsidRPr="00BE1863">
              <w:rPr>
                <w:b/>
                <w:sz w:val="22"/>
              </w:rPr>
              <w:t>Season</w:t>
            </w:r>
          </w:p>
        </w:tc>
        <w:tc>
          <w:tcPr>
            <w:tcW w:w="3745" w:type="dxa"/>
            <w:gridSpan w:val="2"/>
            <w:shd w:val="clear" w:color="auto" w:fill="C2D69B" w:themeFill="accent3" w:themeFillTint="99"/>
            <w:vAlign w:val="bottom"/>
          </w:tcPr>
          <w:p w14:paraId="011D81E8" w14:textId="772A0519" w:rsidR="00F833FF" w:rsidRPr="00BE1863" w:rsidRDefault="00F833FF" w:rsidP="00F833FF">
            <w:pPr>
              <w:jc w:val="center"/>
              <w:rPr>
                <w:b/>
                <w:sz w:val="22"/>
              </w:rPr>
            </w:pPr>
            <w:r w:rsidRPr="00BE1863">
              <w:rPr>
                <w:b/>
                <w:sz w:val="22"/>
              </w:rPr>
              <w:t>Gothenburg Canal</w:t>
            </w:r>
          </w:p>
        </w:tc>
        <w:tc>
          <w:tcPr>
            <w:tcW w:w="3746" w:type="dxa"/>
            <w:gridSpan w:val="2"/>
            <w:shd w:val="clear" w:color="auto" w:fill="C2D69B" w:themeFill="accent3" w:themeFillTint="99"/>
            <w:vAlign w:val="bottom"/>
          </w:tcPr>
          <w:p w14:paraId="6B462D01" w14:textId="5B078516" w:rsidR="00F833FF" w:rsidRPr="00BE1863" w:rsidRDefault="00F833FF" w:rsidP="00F833FF">
            <w:pPr>
              <w:jc w:val="center"/>
              <w:rPr>
                <w:b/>
                <w:sz w:val="22"/>
              </w:rPr>
            </w:pPr>
            <w:r w:rsidRPr="00BE1863">
              <w:rPr>
                <w:b/>
                <w:sz w:val="22"/>
              </w:rPr>
              <w:t>Dawson County Canal</w:t>
            </w:r>
          </w:p>
        </w:tc>
      </w:tr>
      <w:tr w:rsidR="00F833FF" w:rsidRPr="00D70C11" w14:paraId="51B13029" w14:textId="77777777" w:rsidTr="00295071">
        <w:tc>
          <w:tcPr>
            <w:tcW w:w="1859" w:type="dxa"/>
            <w:vMerge/>
            <w:shd w:val="clear" w:color="auto" w:fill="C2D69B" w:themeFill="accent3" w:themeFillTint="99"/>
            <w:vAlign w:val="bottom"/>
          </w:tcPr>
          <w:p w14:paraId="7E4FF5E3" w14:textId="77777777" w:rsidR="00F833FF" w:rsidRPr="00BE1863" w:rsidRDefault="00F833FF" w:rsidP="00F833FF">
            <w:pPr>
              <w:jc w:val="center"/>
              <w:rPr>
                <w:b/>
                <w:sz w:val="22"/>
              </w:rPr>
            </w:pPr>
          </w:p>
        </w:tc>
        <w:tc>
          <w:tcPr>
            <w:tcW w:w="1873" w:type="dxa"/>
            <w:shd w:val="clear" w:color="auto" w:fill="C2D69B" w:themeFill="accent3" w:themeFillTint="99"/>
            <w:vAlign w:val="bottom"/>
          </w:tcPr>
          <w:p w14:paraId="10D52DA9" w14:textId="77777777" w:rsidR="00F833FF" w:rsidRPr="00BE1863" w:rsidRDefault="00F833FF" w:rsidP="00F833FF">
            <w:pPr>
              <w:jc w:val="center"/>
              <w:rPr>
                <w:b/>
                <w:sz w:val="22"/>
              </w:rPr>
            </w:pPr>
            <w:r w:rsidRPr="00BE1863">
              <w:rPr>
                <w:b/>
                <w:sz w:val="22"/>
              </w:rPr>
              <w:t>Diversion</w:t>
            </w:r>
          </w:p>
          <w:p w14:paraId="5C98F422" w14:textId="386D28DB" w:rsidR="00F833FF" w:rsidRPr="00BE1863" w:rsidRDefault="00F833FF" w:rsidP="00F833FF">
            <w:pPr>
              <w:jc w:val="center"/>
              <w:rPr>
                <w:b/>
                <w:sz w:val="22"/>
              </w:rPr>
            </w:pPr>
            <w:r w:rsidRPr="00BE1863">
              <w:rPr>
                <w:b/>
                <w:sz w:val="22"/>
              </w:rPr>
              <w:t>(AF)</w:t>
            </w:r>
          </w:p>
        </w:tc>
        <w:tc>
          <w:tcPr>
            <w:tcW w:w="1872" w:type="dxa"/>
            <w:shd w:val="clear" w:color="auto" w:fill="C2D69B" w:themeFill="accent3" w:themeFillTint="99"/>
            <w:vAlign w:val="bottom"/>
          </w:tcPr>
          <w:p w14:paraId="6C5739A4" w14:textId="77777777" w:rsidR="00F833FF" w:rsidRPr="00BE1863" w:rsidRDefault="00F833FF" w:rsidP="00F833FF">
            <w:pPr>
              <w:jc w:val="center"/>
              <w:rPr>
                <w:b/>
                <w:sz w:val="22"/>
              </w:rPr>
            </w:pPr>
            <w:r w:rsidRPr="00BE1863">
              <w:rPr>
                <w:b/>
                <w:sz w:val="22"/>
              </w:rPr>
              <w:t>Net Recharge</w:t>
            </w:r>
          </w:p>
          <w:p w14:paraId="72DAA121" w14:textId="407091DF" w:rsidR="00F833FF" w:rsidRPr="00BE1863" w:rsidRDefault="00F833FF" w:rsidP="00F833FF">
            <w:pPr>
              <w:jc w:val="center"/>
              <w:rPr>
                <w:b/>
                <w:sz w:val="22"/>
              </w:rPr>
            </w:pPr>
            <w:r w:rsidRPr="00BE1863">
              <w:rPr>
                <w:b/>
                <w:sz w:val="22"/>
              </w:rPr>
              <w:t>(AF)</w:t>
            </w:r>
          </w:p>
        </w:tc>
        <w:tc>
          <w:tcPr>
            <w:tcW w:w="1873" w:type="dxa"/>
            <w:shd w:val="clear" w:color="auto" w:fill="C2D69B" w:themeFill="accent3" w:themeFillTint="99"/>
            <w:vAlign w:val="bottom"/>
          </w:tcPr>
          <w:p w14:paraId="4619226A" w14:textId="77777777" w:rsidR="00F833FF" w:rsidRPr="00BE1863" w:rsidRDefault="00F833FF" w:rsidP="00F833FF">
            <w:pPr>
              <w:jc w:val="center"/>
              <w:rPr>
                <w:b/>
                <w:sz w:val="22"/>
              </w:rPr>
            </w:pPr>
            <w:r w:rsidRPr="00BE1863">
              <w:rPr>
                <w:b/>
                <w:sz w:val="22"/>
              </w:rPr>
              <w:t>Diversion</w:t>
            </w:r>
          </w:p>
          <w:p w14:paraId="48645497" w14:textId="719FE4CB" w:rsidR="00F833FF" w:rsidRPr="00BE1863" w:rsidRDefault="00F833FF" w:rsidP="00F833FF">
            <w:pPr>
              <w:jc w:val="center"/>
              <w:rPr>
                <w:b/>
                <w:sz w:val="22"/>
              </w:rPr>
            </w:pPr>
            <w:r w:rsidRPr="00BE1863">
              <w:rPr>
                <w:b/>
                <w:sz w:val="22"/>
              </w:rPr>
              <w:t>(AF)</w:t>
            </w:r>
          </w:p>
        </w:tc>
        <w:tc>
          <w:tcPr>
            <w:tcW w:w="1873" w:type="dxa"/>
            <w:shd w:val="clear" w:color="auto" w:fill="C2D69B" w:themeFill="accent3" w:themeFillTint="99"/>
            <w:vAlign w:val="bottom"/>
          </w:tcPr>
          <w:p w14:paraId="187FDF0A" w14:textId="77777777" w:rsidR="00F833FF" w:rsidRPr="00BE1863" w:rsidRDefault="00F833FF" w:rsidP="00F833FF">
            <w:pPr>
              <w:jc w:val="center"/>
              <w:rPr>
                <w:b/>
                <w:sz w:val="22"/>
              </w:rPr>
            </w:pPr>
            <w:r w:rsidRPr="00BE1863">
              <w:rPr>
                <w:b/>
                <w:sz w:val="22"/>
              </w:rPr>
              <w:t>Net Recharge</w:t>
            </w:r>
          </w:p>
          <w:p w14:paraId="4C0E0A62" w14:textId="34AD61C7" w:rsidR="00F833FF" w:rsidRPr="00BE1863" w:rsidRDefault="00F833FF" w:rsidP="00F833FF">
            <w:pPr>
              <w:jc w:val="center"/>
              <w:rPr>
                <w:b/>
                <w:sz w:val="22"/>
              </w:rPr>
            </w:pPr>
            <w:r w:rsidRPr="00BE1863">
              <w:rPr>
                <w:b/>
                <w:sz w:val="22"/>
              </w:rPr>
              <w:t>(AF)</w:t>
            </w:r>
          </w:p>
        </w:tc>
      </w:tr>
      <w:tr w:rsidR="00295071" w:rsidRPr="00D70C11" w14:paraId="013C6017" w14:textId="77777777" w:rsidTr="009C2705">
        <w:trPr>
          <w:trHeight w:val="288"/>
        </w:trPr>
        <w:tc>
          <w:tcPr>
            <w:tcW w:w="1859" w:type="dxa"/>
            <w:vAlign w:val="center"/>
          </w:tcPr>
          <w:p w14:paraId="15917794" w14:textId="6246A9BA" w:rsidR="00295071" w:rsidRPr="00BE1863" w:rsidRDefault="00295071" w:rsidP="009C2705">
            <w:pPr>
              <w:rPr>
                <w:sz w:val="22"/>
              </w:rPr>
            </w:pPr>
            <w:r w:rsidRPr="00BE1863">
              <w:rPr>
                <w:sz w:val="22"/>
              </w:rPr>
              <w:t>Fall 2015</w:t>
            </w:r>
          </w:p>
        </w:tc>
        <w:tc>
          <w:tcPr>
            <w:tcW w:w="1873" w:type="dxa"/>
            <w:vAlign w:val="center"/>
          </w:tcPr>
          <w:p w14:paraId="08A524B6" w14:textId="6B140DFB" w:rsidR="00295071" w:rsidRPr="00BE1863" w:rsidRDefault="00295071" w:rsidP="009C2705">
            <w:pPr>
              <w:jc w:val="center"/>
              <w:rPr>
                <w:sz w:val="22"/>
              </w:rPr>
            </w:pPr>
            <w:r w:rsidRPr="00BE1863">
              <w:rPr>
                <w:sz w:val="22"/>
              </w:rPr>
              <w:t>1,609</w:t>
            </w:r>
          </w:p>
        </w:tc>
        <w:tc>
          <w:tcPr>
            <w:tcW w:w="1872" w:type="dxa"/>
            <w:vAlign w:val="center"/>
          </w:tcPr>
          <w:p w14:paraId="427E1995" w14:textId="1032C799" w:rsidR="00295071" w:rsidRPr="00BE1863" w:rsidRDefault="00295071" w:rsidP="009C2705">
            <w:pPr>
              <w:jc w:val="center"/>
              <w:rPr>
                <w:sz w:val="22"/>
              </w:rPr>
            </w:pPr>
            <w:r w:rsidRPr="00BE1863">
              <w:rPr>
                <w:sz w:val="22"/>
              </w:rPr>
              <w:t>1,525</w:t>
            </w:r>
          </w:p>
        </w:tc>
        <w:tc>
          <w:tcPr>
            <w:tcW w:w="1873" w:type="dxa"/>
            <w:vAlign w:val="center"/>
          </w:tcPr>
          <w:p w14:paraId="7AA83D32" w14:textId="7081782B" w:rsidR="00295071" w:rsidRPr="00BE1863" w:rsidRDefault="00295071" w:rsidP="009C2705">
            <w:pPr>
              <w:jc w:val="center"/>
              <w:rPr>
                <w:sz w:val="22"/>
              </w:rPr>
            </w:pPr>
            <w:r w:rsidRPr="00BE1863">
              <w:rPr>
                <w:sz w:val="22"/>
              </w:rPr>
              <w:t>3,303</w:t>
            </w:r>
          </w:p>
        </w:tc>
        <w:tc>
          <w:tcPr>
            <w:tcW w:w="1873" w:type="dxa"/>
            <w:vAlign w:val="center"/>
          </w:tcPr>
          <w:p w14:paraId="23409FBA" w14:textId="44E050D1" w:rsidR="00295071" w:rsidRPr="00BE1863" w:rsidRDefault="00295071" w:rsidP="009C2705">
            <w:pPr>
              <w:jc w:val="center"/>
              <w:rPr>
                <w:sz w:val="22"/>
              </w:rPr>
            </w:pPr>
            <w:r w:rsidRPr="00BE1863">
              <w:rPr>
                <w:sz w:val="22"/>
              </w:rPr>
              <w:t>2,845</w:t>
            </w:r>
          </w:p>
        </w:tc>
      </w:tr>
      <w:tr w:rsidR="00295071" w:rsidRPr="00D70C11" w14:paraId="557F106E" w14:textId="77777777" w:rsidTr="009C2705">
        <w:trPr>
          <w:trHeight w:val="288"/>
        </w:trPr>
        <w:tc>
          <w:tcPr>
            <w:tcW w:w="1859" w:type="dxa"/>
            <w:vAlign w:val="center"/>
          </w:tcPr>
          <w:p w14:paraId="043F0AB5" w14:textId="492DF8E8" w:rsidR="00295071" w:rsidRPr="00BE1863" w:rsidRDefault="00295071" w:rsidP="009C2705">
            <w:pPr>
              <w:rPr>
                <w:sz w:val="22"/>
              </w:rPr>
            </w:pPr>
            <w:r w:rsidRPr="00BE1863">
              <w:rPr>
                <w:sz w:val="22"/>
              </w:rPr>
              <w:t>Spring 2016</w:t>
            </w:r>
          </w:p>
        </w:tc>
        <w:tc>
          <w:tcPr>
            <w:tcW w:w="1873" w:type="dxa"/>
            <w:vAlign w:val="center"/>
          </w:tcPr>
          <w:p w14:paraId="018A65A6" w14:textId="677343A0" w:rsidR="00295071" w:rsidRPr="00BE1863" w:rsidRDefault="00295071" w:rsidP="009C2705">
            <w:pPr>
              <w:jc w:val="center"/>
              <w:rPr>
                <w:sz w:val="22"/>
              </w:rPr>
            </w:pPr>
            <w:r w:rsidRPr="00BE1863">
              <w:rPr>
                <w:sz w:val="22"/>
              </w:rPr>
              <w:t>0</w:t>
            </w:r>
          </w:p>
        </w:tc>
        <w:tc>
          <w:tcPr>
            <w:tcW w:w="1872" w:type="dxa"/>
            <w:vAlign w:val="center"/>
          </w:tcPr>
          <w:p w14:paraId="356A5081" w14:textId="3E76506B" w:rsidR="00295071" w:rsidRPr="00BE1863" w:rsidRDefault="00295071" w:rsidP="009C2705">
            <w:pPr>
              <w:jc w:val="center"/>
              <w:rPr>
                <w:sz w:val="22"/>
              </w:rPr>
            </w:pPr>
            <w:r w:rsidRPr="00BE1863">
              <w:rPr>
                <w:sz w:val="22"/>
              </w:rPr>
              <w:t>0</w:t>
            </w:r>
          </w:p>
        </w:tc>
        <w:tc>
          <w:tcPr>
            <w:tcW w:w="1873" w:type="dxa"/>
            <w:vAlign w:val="center"/>
          </w:tcPr>
          <w:p w14:paraId="4A9F2C19" w14:textId="533AF55F" w:rsidR="00295071" w:rsidRPr="00BE1863" w:rsidRDefault="00295071" w:rsidP="009C2705">
            <w:pPr>
              <w:jc w:val="center"/>
              <w:rPr>
                <w:sz w:val="22"/>
              </w:rPr>
            </w:pPr>
            <w:r w:rsidRPr="00BE1863">
              <w:rPr>
                <w:sz w:val="22"/>
              </w:rPr>
              <w:t>1,397</w:t>
            </w:r>
          </w:p>
        </w:tc>
        <w:tc>
          <w:tcPr>
            <w:tcW w:w="1873" w:type="dxa"/>
            <w:vAlign w:val="center"/>
          </w:tcPr>
          <w:p w14:paraId="576B96A5" w14:textId="28433C9F" w:rsidR="00295071" w:rsidRPr="00BE1863" w:rsidRDefault="00295071" w:rsidP="009C2705">
            <w:pPr>
              <w:jc w:val="center"/>
              <w:rPr>
                <w:sz w:val="22"/>
              </w:rPr>
            </w:pPr>
            <w:r w:rsidRPr="00BE1863">
              <w:rPr>
                <w:sz w:val="22"/>
              </w:rPr>
              <w:t>1,309</w:t>
            </w:r>
          </w:p>
        </w:tc>
      </w:tr>
      <w:tr w:rsidR="00295071" w:rsidRPr="00D70C11" w14:paraId="3920C1FF" w14:textId="77777777" w:rsidTr="009C2705">
        <w:trPr>
          <w:trHeight w:val="288"/>
        </w:trPr>
        <w:tc>
          <w:tcPr>
            <w:tcW w:w="1859" w:type="dxa"/>
            <w:vAlign w:val="center"/>
          </w:tcPr>
          <w:p w14:paraId="06A639A9" w14:textId="4901357E" w:rsidR="00295071" w:rsidRPr="00BE1863" w:rsidRDefault="00295071" w:rsidP="009C2705">
            <w:pPr>
              <w:rPr>
                <w:sz w:val="22"/>
              </w:rPr>
            </w:pPr>
            <w:r w:rsidRPr="00BE1863">
              <w:rPr>
                <w:sz w:val="22"/>
              </w:rPr>
              <w:t>Fall 2016</w:t>
            </w:r>
          </w:p>
        </w:tc>
        <w:tc>
          <w:tcPr>
            <w:tcW w:w="1873" w:type="dxa"/>
            <w:vAlign w:val="center"/>
          </w:tcPr>
          <w:p w14:paraId="31FEB8E0" w14:textId="6C326683" w:rsidR="00295071" w:rsidRPr="00BE1863" w:rsidRDefault="00295071" w:rsidP="009C2705">
            <w:pPr>
              <w:jc w:val="center"/>
              <w:rPr>
                <w:sz w:val="22"/>
              </w:rPr>
            </w:pPr>
            <w:r w:rsidRPr="00BE1863">
              <w:rPr>
                <w:sz w:val="22"/>
              </w:rPr>
              <w:t>6,019</w:t>
            </w:r>
          </w:p>
        </w:tc>
        <w:tc>
          <w:tcPr>
            <w:tcW w:w="1872" w:type="dxa"/>
            <w:vAlign w:val="center"/>
          </w:tcPr>
          <w:p w14:paraId="140730DC" w14:textId="100E1908" w:rsidR="00295071" w:rsidRPr="00BE1863" w:rsidRDefault="00295071" w:rsidP="009C2705">
            <w:pPr>
              <w:jc w:val="center"/>
              <w:rPr>
                <w:sz w:val="22"/>
              </w:rPr>
            </w:pPr>
            <w:r w:rsidRPr="00BE1863">
              <w:rPr>
                <w:sz w:val="22"/>
              </w:rPr>
              <w:t>4,653</w:t>
            </w:r>
          </w:p>
        </w:tc>
        <w:tc>
          <w:tcPr>
            <w:tcW w:w="1873" w:type="dxa"/>
            <w:vAlign w:val="center"/>
          </w:tcPr>
          <w:p w14:paraId="72EA2656" w14:textId="2B50FF13" w:rsidR="00295071" w:rsidRPr="00BE1863" w:rsidRDefault="00295071" w:rsidP="009C2705">
            <w:pPr>
              <w:jc w:val="center"/>
              <w:rPr>
                <w:sz w:val="22"/>
              </w:rPr>
            </w:pPr>
            <w:r w:rsidRPr="00BE1863">
              <w:rPr>
                <w:sz w:val="22"/>
              </w:rPr>
              <w:t>5,628</w:t>
            </w:r>
          </w:p>
        </w:tc>
        <w:tc>
          <w:tcPr>
            <w:tcW w:w="1873" w:type="dxa"/>
            <w:vAlign w:val="center"/>
          </w:tcPr>
          <w:p w14:paraId="1BCD96D9" w14:textId="526C5F7B" w:rsidR="00295071" w:rsidRPr="00BE1863" w:rsidRDefault="00295071" w:rsidP="009C2705">
            <w:pPr>
              <w:jc w:val="center"/>
              <w:rPr>
                <w:sz w:val="22"/>
              </w:rPr>
            </w:pPr>
            <w:r w:rsidRPr="00BE1863">
              <w:rPr>
                <w:sz w:val="22"/>
              </w:rPr>
              <w:t>3,471</w:t>
            </w:r>
          </w:p>
        </w:tc>
      </w:tr>
      <w:tr w:rsidR="00295071" w:rsidRPr="00D70C11" w14:paraId="7FD7FDEC" w14:textId="77777777" w:rsidTr="009C2705">
        <w:trPr>
          <w:trHeight w:val="288"/>
        </w:trPr>
        <w:tc>
          <w:tcPr>
            <w:tcW w:w="1859" w:type="dxa"/>
            <w:vAlign w:val="center"/>
          </w:tcPr>
          <w:p w14:paraId="38BF3232" w14:textId="627CB9E5" w:rsidR="00295071" w:rsidRPr="00BE1863" w:rsidRDefault="00295071" w:rsidP="009C2705">
            <w:pPr>
              <w:rPr>
                <w:sz w:val="22"/>
              </w:rPr>
            </w:pPr>
            <w:r w:rsidRPr="00BE1863">
              <w:rPr>
                <w:sz w:val="22"/>
              </w:rPr>
              <w:t>Spring 2017</w:t>
            </w:r>
          </w:p>
        </w:tc>
        <w:tc>
          <w:tcPr>
            <w:tcW w:w="1873" w:type="dxa"/>
            <w:vAlign w:val="center"/>
          </w:tcPr>
          <w:p w14:paraId="19F58AD9" w14:textId="36D7694A" w:rsidR="00295071" w:rsidRPr="00BE1863" w:rsidRDefault="00295071" w:rsidP="009C2705">
            <w:pPr>
              <w:jc w:val="center"/>
              <w:rPr>
                <w:sz w:val="22"/>
              </w:rPr>
            </w:pPr>
            <w:r w:rsidRPr="00BE1863">
              <w:rPr>
                <w:sz w:val="22"/>
              </w:rPr>
              <w:t>0</w:t>
            </w:r>
          </w:p>
        </w:tc>
        <w:tc>
          <w:tcPr>
            <w:tcW w:w="1872" w:type="dxa"/>
            <w:vAlign w:val="center"/>
          </w:tcPr>
          <w:p w14:paraId="7BDC62C5" w14:textId="6D46E137" w:rsidR="00295071" w:rsidRPr="00BE1863" w:rsidRDefault="00295071" w:rsidP="009C2705">
            <w:pPr>
              <w:jc w:val="center"/>
              <w:rPr>
                <w:sz w:val="22"/>
              </w:rPr>
            </w:pPr>
            <w:r w:rsidRPr="00BE1863">
              <w:rPr>
                <w:sz w:val="22"/>
              </w:rPr>
              <w:t>0</w:t>
            </w:r>
          </w:p>
        </w:tc>
        <w:tc>
          <w:tcPr>
            <w:tcW w:w="1873" w:type="dxa"/>
            <w:vAlign w:val="center"/>
          </w:tcPr>
          <w:p w14:paraId="50C62BC2" w14:textId="171C8A4C" w:rsidR="00295071" w:rsidRPr="00BE1863" w:rsidRDefault="00295071" w:rsidP="009C2705">
            <w:pPr>
              <w:jc w:val="center"/>
              <w:rPr>
                <w:color w:val="000000"/>
                <w:sz w:val="22"/>
              </w:rPr>
            </w:pPr>
            <w:r w:rsidRPr="00BE1863">
              <w:rPr>
                <w:sz w:val="22"/>
              </w:rPr>
              <w:t>0</w:t>
            </w:r>
          </w:p>
        </w:tc>
        <w:tc>
          <w:tcPr>
            <w:tcW w:w="1873" w:type="dxa"/>
            <w:vAlign w:val="center"/>
          </w:tcPr>
          <w:p w14:paraId="5D89859F" w14:textId="37D780E0" w:rsidR="00295071" w:rsidRPr="00BE1863" w:rsidRDefault="00295071" w:rsidP="009C2705">
            <w:pPr>
              <w:jc w:val="center"/>
              <w:rPr>
                <w:sz w:val="22"/>
              </w:rPr>
            </w:pPr>
            <w:r w:rsidRPr="00BE1863">
              <w:rPr>
                <w:sz w:val="22"/>
              </w:rPr>
              <w:t>0</w:t>
            </w:r>
          </w:p>
        </w:tc>
      </w:tr>
      <w:tr w:rsidR="00295071" w:rsidRPr="00D70C11" w14:paraId="57B01B43" w14:textId="77777777" w:rsidTr="009C2705">
        <w:trPr>
          <w:trHeight w:val="288"/>
        </w:trPr>
        <w:tc>
          <w:tcPr>
            <w:tcW w:w="1859" w:type="dxa"/>
            <w:vAlign w:val="center"/>
          </w:tcPr>
          <w:p w14:paraId="1C354CC9" w14:textId="7DF7FC42" w:rsidR="00295071" w:rsidRPr="00BE1863" w:rsidRDefault="00295071" w:rsidP="009C2705">
            <w:pPr>
              <w:rPr>
                <w:sz w:val="22"/>
              </w:rPr>
            </w:pPr>
            <w:r w:rsidRPr="00BE1863">
              <w:rPr>
                <w:sz w:val="22"/>
              </w:rPr>
              <w:t>Fall 2017</w:t>
            </w:r>
          </w:p>
        </w:tc>
        <w:tc>
          <w:tcPr>
            <w:tcW w:w="1873" w:type="dxa"/>
            <w:vAlign w:val="center"/>
          </w:tcPr>
          <w:p w14:paraId="43CF6CD9" w14:textId="4E682718" w:rsidR="00295071" w:rsidRPr="00BE1863" w:rsidRDefault="00295071" w:rsidP="009C2705">
            <w:pPr>
              <w:jc w:val="center"/>
              <w:rPr>
                <w:sz w:val="22"/>
              </w:rPr>
            </w:pPr>
            <w:r w:rsidRPr="00BE1863">
              <w:rPr>
                <w:sz w:val="22"/>
              </w:rPr>
              <w:t>0</w:t>
            </w:r>
          </w:p>
        </w:tc>
        <w:tc>
          <w:tcPr>
            <w:tcW w:w="1872" w:type="dxa"/>
            <w:vAlign w:val="center"/>
          </w:tcPr>
          <w:p w14:paraId="078F92A8" w14:textId="70459559" w:rsidR="00295071" w:rsidRPr="00BE1863" w:rsidRDefault="00295071" w:rsidP="009C2705">
            <w:pPr>
              <w:jc w:val="center"/>
              <w:rPr>
                <w:sz w:val="22"/>
              </w:rPr>
            </w:pPr>
            <w:r w:rsidRPr="00BE1863">
              <w:rPr>
                <w:sz w:val="22"/>
              </w:rPr>
              <w:t>0</w:t>
            </w:r>
          </w:p>
        </w:tc>
        <w:tc>
          <w:tcPr>
            <w:tcW w:w="1873" w:type="dxa"/>
            <w:vAlign w:val="center"/>
          </w:tcPr>
          <w:p w14:paraId="29F9F7FF" w14:textId="0CFFB5C2" w:rsidR="00295071" w:rsidRPr="00BE1863" w:rsidRDefault="00295071" w:rsidP="009C2705">
            <w:pPr>
              <w:jc w:val="center"/>
              <w:rPr>
                <w:sz w:val="22"/>
              </w:rPr>
            </w:pPr>
            <w:r w:rsidRPr="00BE1863">
              <w:rPr>
                <w:sz w:val="22"/>
              </w:rPr>
              <w:t>4,040</w:t>
            </w:r>
          </w:p>
        </w:tc>
        <w:tc>
          <w:tcPr>
            <w:tcW w:w="1873" w:type="dxa"/>
            <w:vAlign w:val="center"/>
          </w:tcPr>
          <w:p w14:paraId="75ABB79E" w14:textId="36D69B3C" w:rsidR="00295071" w:rsidRPr="00BE1863" w:rsidRDefault="00295071" w:rsidP="009C2705">
            <w:pPr>
              <w:jc w:val="center"/>
              <w:rPr>
                <w:sz w:val="22"/>
              </w:rPr>
            </w:pPr>
            <w:r w:rsidRPr="00BE1863">
              <w:rPr>
                <w:sz w:val="22"/>
              </w:rPr>
              <w:t>3,594</w:t>
            </w:r>
          </w:p>
        </w:tc>
      </w:tr>
      <w:tr w:rsidR="00295071" w:rsidRPr="00D70C11" w14:paraId="61048670" w14:textId="77777777" w:rsidTr="009C2705">
        <w:trPr>
          <w:trHeight w:val="288"/>
        </w:trPr>
        <w:tc>
          <w:tcPr>
            <w:tcW w:w="1859" w:type="dxa"/>
            <w:vAlign w:val="center"/>
          </w:tcPr>
          <w:p w14:paraId="1A12C4B7" w14:textId="737011E3" w:rsidR="00295071" w:rsidRPr="00BE1863" w:rsidRDefault="00295071" w:rsidP="009C2705">
            <w:pPr>
              <w:rPr>
                <w:sz w:val="22"/>
              </w:rPr>
            </w:pPr>
            <w:r w:rsidRPr="00BE1863">
              <w:rPr>
                <w:sz w:val="22"/>
              </w:rPr>
              <w:t>Spring 2018</w:t>
            </w:r>
          </w:p>
        </w:tc>
        <w:tc>
          <w:tcPr>
            <w:tcW w:w="1873" w:type="dxa"/>
            <w:vAlign w:val="center"/>
          </w:tcPr>
          <w:p w14:paraId="5D115F1E" w14:textId="50ED8F6A" w:rsidR="00295071" w:rsidRPr="00BE1863" w:rsidRDefault="00295071" w:rsidP="009C2705">
            <w:pPr>
              <w:jc w:val="center"/>
              <w:rPr>
                <w:sz w:val="22"/>
              </w:rPr>
            </w:pPr>
            <w:r w:rsidRPr="00BE1863">
              <w:rPr>
                <w:sz w:val="22"/>
              </w:rPr>
              <w:t>0</w:t>
            </w:r>
          </w:p>
        </w:tc>
        <w:tc>
          <w:tcPr>
            <w:tcW w:w="1872" w:type="dxa"/>
            <w:vAlign w:val="center"/>
          </w:tcPr>
          <w:p w14:paraId="7E7AFC67" w14:textId="5A64AEA5" w:rsidR="00295071" w:rsidRPr="00BE1863" w:rsidRDefault="00295071" w:rsidP="009C2705">
            <w:pPr>
              <w:jc w:val="center"/>
              <w:rPr>
                <w:sz w:val="22"/>
              </w:rPr>
            </w:pPr>
            <w:r w:rsidRPr="00BE1863">
              <w:rPr>
                <w:sz w:val="22"/>
              </w:rPr>
              <w:t>0</w:t>
            </w:r>
          </w:p>
        </w:tc>
        <w:tc>
          <w:tcPr>
            <w:tcW w:w="1873" w:type="dxa"/>
            <w:vAlign w:val="center"/>
          </w:tcPr>
          <w:p w14:paraId="4F31FAF2" w14:textId="2BF7A5E4" w:rsidR="00295071" w:rsidRPr="00BE1863" w:rsidRDefault="00295071" w:rsidP="009C2705">
            <w:pPr>
              <w:jc w:val="center"/>
              <w:rPr>
                <w:sz w:val="22"/>
              </w:rPr>
            </w:pPr>
            <w:r w:rsidRPr="00BE1863">
              <w:rPr>
                <w:sz w:val="22"/>
              </w:rPr>
              <w:t>0</w:t>
            </w:r>
          </w:p>
        </w:tc>
        <w:tc>
          <w:tcPr>
            <w:tcW w:w="1873" w:type="dxa"/>
            <w:vAlign w:val="center"/>
          </w:tcPr>
          <w:p w14:paraId="4B74F5BF" w14:textId="662C4B4E" w:rsidR="00295071" w:rsidRPr="00BE1863" w:rsidRDefault="00295071" w:rsidP="009C2705">
            <w:pPr>
              <w:jc w:val="center"/>
              <w:rPr>
                <w:sz w:val="22"/>
              </w:rPr>
            </w:pPr>
            <w:r w:rsidRPr="00BE1863">
              <w:rPr>
                <w:sz w:val="22"/>
              </w:rPr>
              <w:t>0</w:t>
            </w:r>
          </w:p>
        </w:tc>
      </w:tr>
      <w:tr w:rsidR="00295071" w:rsidRPr="00D70C11" w14:paraId="2961E201" w14:textId="77777777" w:rsidTr="009C2705">
        <w:trPr>
          <w:trHeight w:val="288"/>
        </w:trPr>
        <w:tc>
          <w:tcPr>
            <w:tcW w:w="1859" w:type="dxa"/>
            <w:vAlign w:val="center"/>
          </w:tcPr>
          <w:p w14:paraId="1F7E21A1" w14:textId="3D052A86" w:rsidR="00295071" w:rsidRPr="00BE1863" w:rsidRDefault="00295071" w:rsidP="009C2705">
            <w:pPr>
              <w:rPr>
                <w:sz w:val="22"/>
              </w:rPr>
            </w:pPr>
            <w:r w:rsidRPr="00BE1863">
              <w:rPr>
                <w:sz w:val="22"/>
              </w:rPr>
              <w:t>Fall 2018</w:t>
            </w:r>
          </w:p>
        </w:tc>
        <w:tc>
          <w:tcPr>
            <w:tcW w:w="1873" w:type="dxa"/>
            <w:vAlign w:val="center"/>
          </w:tcPr>
          <w:p w14:paraId="44DCD3D9" w14:textId="7DFAB754" w:rsidR="00295071" w:rsidRPr="00BE1863" w:rsidRDefault="00295071" w:rsidP="009C2705">
            <w:pPr>
              <w:jc w:val="center"/>
              <w:rPr>
                <w:color w:val="000000"/>
                <w:sz w:val="22"/>
              </w:rPr>
            </w:pPr>
            <w:r w:rsidRPr="00BE1863">
              <w:rPr>
                <w:sz w:val="22"/>
              </w:rPr>
              <w:t>680</w:t>
            </w:r>
          </w:p>
        </w:tc>
        <w:tc>
          <w:tcPr>
            <w:tcW w:w="1872" w:type="dxa"/>
            <w:vAlign w:val="center"/>
          </w:tcPr>
          <w:p w14:paraId="66B8106C" w14:textId="4A39C259" w:rsidR="00295071" w:rsidRPr="00BE1863" w:rsidRDefault="00295071" w:rsidP="009C2705">
            <w:pPr>
              <w:jc w:val="center"/>
              <w:rPr>
                <w:color w:val="000000"/>
                <w:sz w:val="22"/>
              </w:rPr>
            </w:pPr>
            <w:r w:rsidRPr="00BE1863">
              <w:rPr>
                <w:sz w:val="22"/>
              </w:rPr>
              <w:t>617</w:t>
            </w:r>
          </w:p>
        </w:tc>
        <w:tc>
          <w:tcPr>
            <w:tcW w:w="1873" w:type="dxa"/>
            <w:vAlign w:val="center"/>
          </w:tcPr>
          <w:p w14:paraId="3E5AE6A3" w14:textId="017DBDD3" w:rsidR="00295071" w:rsidRPr="00BE1863" w:rsidRDefault="00295071" w:rsidP="009C2705">
            <w:pPr>
              <w:jc w:val="center"/>
              <w:rPr>
                <w:color w:val="000000"/>
                <w:sz w:val="22"/>
              </w:rPr>
            </w:pPr>
            <w:r w:rsidRPr="00BE1863">
              <w:rPr>
                <w:sz w:val="22"/>
              </w:rPr>
              <w:t>2,666</w:t>
            </w:r>
          </w:p>
        </w:tc>
        <w:tc>
          <w:tcPr>
            <w:tcW w:w="1873" w:type="dxa"/>
            <w:vAlign w:val="center"/>
          </w:tcPr>
          <w:p w14:paraId="404EC82B" w14:textId="0EB17429" w:rsidR="00295071" w:rsidRPr="00BE1863" w:rsidRDefault="00295071" w:rsidP="009C2705">
            <w:pPr>
              <w:jc w:val="center"/>
              <w:rPr>
                <w:color w:val="000000"/>
                <w:sz w:val="22"/>
              </w:rPr>
            </w:pPr>
            <w:r w:rsidRPr="00BE1863">
              <w:rPr>
                <w:sz w:val="22"/>
              </w:rPr>
              <w:t>2,084</w:t>
            </w:r>
          </w:p>
        </w:tc>
      </w:tr>
      <w:tr w:rsidR="00295071" w:rsidRPr="00D70C11" w14:paraId="5EEA7116" w14:textId="77777777" w:rsidTr="009C2705">
        <w:trPr>
          <w:trHeight w:val="288"/>
        </w:trPr>
        <w:tc>
          <w:tcPr>
            <w:tcW w:w="1859" w:type="dxa"/>
            <w:shd w:val="clear" w:color="auto" w:fill="BFBFBF" w:themeFill="background1" w:themeFillShade="BF"/>
            <w:vAlign w:val="center"/>
          </w:tcPr>
          <w:p w14:paraId="05A65FAA" w14:textId="5104B4AE" w:rsidR="00295071" w:rsidRPr="00BE1863" w:rsidRDefault="00295071" w:rsidP="009C2705">
            <w:pPr>
              <w:jc w:val="center"/>
              <w:rPr>
                <w:b/>
                <w:sz w:val="22"/>
              </w:rPr>
            </w:pPr>
            <w:r w:rsidRPr="00BE1863">
              <w:rPr>
                <w:b/>
                <w:sz w:val="22"/>
              </w:rPr>
              <w:t>Total</w:t>
            </w:r>
          </w:p>
        </w:tc>
        <w:tc>
          <w:tcPr>
            <w:tcW w:w="1873" w:type="dxa"/>
            <w:shd w:val="clear" w:color="auto" w:fill="BFBFBF" w:themeFill="background1" w:themeFillShade="BF"/>
            <w:vAlign w:val="center"/>
          </w:tcPr>
          <w:p w14:paraId="5AB0C297" w14:textId="559C92F1" w:rsidR="00295071" w:rsidRPr="00DB0F13" w:rsidRDefault="00295071" w:rsidP="009C2705">
            <w:pPr>
              <w:jc w:val="center"/>
              <w:rPr>
                <w:b/>
                <w:sz w:val="22"/>
              </w:rPr>
            </w:pPr>
            <w:r w:rsidRPr="00DB0F13">
              <w:rPr>
                <w:b/>
                <w:sz w:val="22"/>
              </w:rPr>
              <w:t>8,307</w:t>
            </w:r>
          </w:p>
        </w:tc>
        <w:tc>
          <w:tcPr>
            <w:tcW w:w="1872" w:type="dxa"/>
            <w:shd w:val="clear" w:color="auto" w:fill="BFBFBF" w:themeFill="background1" w:themeFillShade="BF"/>
            <w:vAlign w:val="center"/>
          </w:tcPr>
          <w:p w14:paraId="4A25FFC9" w14:textId="7E1FECCF" w:rsidR="00295071" w:rsidRPr="00DB0F13" w:rsidRDefault="00295071" w:rsidP="009C2705">
            <w:pPr>
              <w:jc w:val="center"/>
              <w:rPr>
                <w:b/>
                <w:sz w:val="22"/>
              </w:rPr>
            </w:pPr>
            <w:r w:rsidRPr="00DB0F13">
              <w:rPr>
                <w:b/>
                <w:sz w:val="22"/>
              </w:rPr>
              <w:t>6,795</w:t>
            </w:r>
          </w:p>
        </w:tc>
        <w:tc>
          <w:tcPr>
            <w:tcW w:w="1873" w:type="dxa"/>
            <w:shd w:val="clear" w:color="auto" w:fill="BFBFBF" w:themeFill="background1" w:themeFillShade="BF"/>
            <w:vAlign w:val="center"/>
          </w:tcPr>
          <w:p w14:paraId="2ED28F32" w14:textId="2C38FFCA" w:rsidR="00295071" w:rsidRPr="00DB0F13" w:rsidRDefault="00295071" w:rsidP="009C2705">
            <w:pPr>
              <w:jc w:val="center"/>
              <w:rPr>
                <w:b/>
                <w:sz w:val="22"/>
              </w:rPr>
            </w:pPr>
            <w:r w:rsidRPr="00DB0F13">
              <w:rPr>
                <w:b/>
                <w:sz w:val="22"/>
              </w:rPr>
              <w:t>17,033</w:t>
            </w:r>
          </w:p>
        </w:tc>
        <w:tc>
          <w:tcPr>
            <w:tcW w:w="1873" w:type="dxa"/>
            <w:shd w:val="clear" w:color="auto" w:fill="BFBFBF" w:themeFill="background1" w:themeFillShade="BF"/>
            <w:vAlign w:val="center"/>
          </w:tcPr>
          <w:p w14:paraId="5ECC4E73" w14:textId="6EEF6FC8" w:rsidR="00295071" w:rsidRPr="00DB0F13" w:rsidRDefault="00295071" w:rsidP="009C2705">
            <w:pPr>
              <w:jc w:val="center"/>
              <w:rPr>
                <w:b/>
                <w:sz w:val="22"/>
              </w:rPr>
            </w:pPr>
            <w:r w:rsidRPr="00DB0F13">
              <w:rPr>
                <w:b/>
                <w:sz w:val="22"/>
              </w:rPr>
              <w:t>13,303</w:t>
            </w:r>
          </w:p>
        </w:tc>
      </w:tr>
      <w:tr w:rsidR="00295071" w:rsidRPr="00D70C11" w14:paraId="10CB0CF0" w14:textId="77777777" w:rsidTr="009C2705">
        <w:trPr>
          <w:trHeight w:val="288"/>
        </w:trPr>
        <w:tc>
          <w:tcPr>
            <w:tcW w:w="1859" w:type="dxa"/>
            <w:shd w:val="clear" w:color="auto" w:fill="BFBFBF" w:themeFill="background1" w:themeFillShade="BF"/>
            <w:vAlign w:val="center"/>
          </w:tcPr>
          <w:p w14:paraId="06EF3193" w14:textId="452C6C57" w:rsidR="00295071" w:rsidRPr="00BE1863" w:rsidRDefault="009C2705" w:rsidP="009C2705">
            <w:pPr>
              <w:jc w:val="center"/>
              <w:rPr>
                <w:b/>
                <w:sz w:val="22"/>
              </w:rPr>
            </w:pPr>
            <w:r w:rsidRPr="00BE1863">
              <w:rPr>
                <w:b/>
                <w:sz w:val="22"/>
              </w:rPr>
              <w:t>Spring Average</w:t>
            </w:r>
          </w:p>
        </w:tc>
        <w:tc>
          <w:tcPr>
            <w:tcW w:w="1873" w:type="dxa"/>
            <w:shd w:val="clear" w:color="auto" w:fill="BFBFBF" w:themeFill="background1" w:themeFillShade="BF"/>
            <w:vAlign w:val="center"/>
          </w:tcPr>
          <w:p w14:paraId="214D7C6B" w14:textId="72A0390C" w:rsidR="00295071" w:rsidRPr="00DB0F13" w:rsidRDefault="00295071" w:rsidP="009C2705">
            <w:pPr>
              <w:jc w:val="center"/>
              <w:rPr>
                <w:b/>
                <w:color w:val="000000"/>
                <w:sz w:val="22"/>
              </w:rPr>
            </w:pPr>
            <w:r w:rsidRPr="00DB0F13">
              <w:rPr>
                <w:b/>
                <w:sz w:val="22"/>
              </w:rPr>
              <w:t>0</w:t>
            </w:r>
          </w:p>
        </w:tc>
        <w:tc>
          <w:tcPr>
            <w:tcW w:w="1872" w:type="dxa"/>
            <w:shd w:val="clear" w:color="auto" w:fill="BFBFBF" w:themeFill="background1" w:themeFillShade="BF"/>
            <w:vAlign w:val="center"/>
          </w:tcPr>
          <w:p w14:paraId="34AAC833" w14:textId="07B9890F" w:rsidR="00295071" w:rsidRPr="00DB0F13" w:rsidRDefault="00295071" w:rsidP="009C2705">
            <w:pPr>
              <w:jc w:val="center"/>
              <w:rPr>
                <w:b/>
                <w:color w:val="000000"/>
                <w:sz w:val="22"/>
              </w:rPr>
            </w:pPr>
            <w:r w:rsidRPr="00DB0F13">
              <w:rPr>
                <w:b/>
                <w:sz w:val="22"/>
              </w:rPr>
              <w:t>0</w:t>
            </w:r>
          </w:p>
        </w:tc>
        <w:tc>
          <w:tcPr>
            <w:tcW w:w="1873" w:type="dxa"/>
            <w:shd w:val="clear" w:color="auto" w:fill="BFBFBF" w:themeFill="background1" w:themeFillShade="BF"/>
            <w:vAlign w:val="center"/>
          </w:tcPr>
          <w:p w14:paraId="16CF1044" w14:textId="73CBB620" w:rsidR="00295071" w:rsidRPr="00DB0F13" w:rsidRDefault="00295071" w:rsidP="009C2705">
            <w:pPr>
              <w:jc w:val="center"/>
              <w:rPr>
                <w:b/>
                <w:color w:val="000000"/>
                <w:sz w:val="22"/>
              </w:rPr>
            </w:pPr>
            <w:r w:rsidRPr="00DB0F13">
              <w:rPr>
                <w:b/>
                <w:sz w:val="22"/>
              </w:rPr>
              <w:t>466</w:t>
            </w:r>
          </w:p>
        </w:tc>
        <w:tc>
          <w:tcPr>
            <w:tcW w:w="1873" w:type="dxa"/>
            <w:shd w:val="clear" w:color="auto" w:fill="BFBFBF" w:themeFill="background1" w:themeFillShade="BF"/>
            <w:vAlign w:val="center"/>
          </w:tcPr>
          <w:p w14:paraId="20AFBBF9" w14:textId="6916D3DF" w:rsidR="00295071" w:rsidRPr="00DB0F13" w:rsidRDefault="00295071" w:rsidP="009C2705">
            <w:pPr>
              <w:jc w:val="center"/>
              <w:rPr>
                <w:b/>
                <w:color w:val="000000"/>
                <w:sz w:val="22"/>
              </w:rPr>
            </w:pPr>
            <w:r w:rsidRPr="00DB0F13">
              <w:rPr>
                <w:b/>
                <w:sz w:val="22"/>
              </w:rPr>
              <w:t>436</w:t>
            </w:r>
          </w:p>
        </w:tc>
      </w:tr>
      <w:tr w:rsidR="00295071" w:rsidRPr="00D70C11" w14:paraId="522AB5FC" w14:textId="77777777" w:rsidTr="009C2705">
        <w:trPr>
          <w:trHeight w:val="288"/>
        </w:trPr>
        <w:tc>
          <w:tcPr>
            <w:tcW w:w="1859" w:type="dxa"/>
            <w:shd w:val="clear" w:color="auto" w:fill="BFBFBF" w:themeFill="background1" w:themeFillShade="BF"/>
            <w:vAlign w:val="center"/>
          </w:tcPr>
          <w:p w14:paraId="3452672F" w14:textId="3C38D388" w:rsidR="00295071" w:rsidRPr="00BE1863" w:rsidRDefault="009C2705" w:rsidP="009C2705">
            <w:pPr>
              <w:jc w:val="center"/>
              <w:rPr>
                <w:b/>
                <w:sz w:val="22"/>
              </w:rPr>
            </w:pPr>
            <w:r w:rsidRPr="00BE1863">
              <w:rPr>
                <w:b/>
                <w:sz w:val="22"/>
              </w:rPr>
              <w:t>Fall Average</w:t>
            </w:r>
          </w:p>
        </w:tc>
        <w:tc>
          <w:tcPr>
            <w:tcW w:w="1873" w:type="dxa"/>
            <w:shd w:val="clear" w:color="auto" w:fill="BFBFBF" w:themeFill="background1" w:themeFillShade="BF"/>
            <w:vAlign w:val="center"/>
          </w:tcPr>
          <w:p w14:paraId="584D4054" w14:textId="2BCB01BB" w:rsidR="00295071" w:rsidRPr="00DB0F13" w:rsidRDefault="00295071" w:rsidP="009C2705">
            <w:pPr>
              <w:jc w:val="center"/>
              <w:rPr>
                <w:b/>
                <w:color w:val="000000"/>
                <w:sz w:val="22"/>
              </w:rPr>
            </w:pPr>
            <w:r w:rsidRPr="00DB0F13">
              <w:rPr>
                <w:b/>
                <w:sz w:val="22"/>
              </w:rPr>
              <w:t>2,077</w:t>
            </w:r>
          </w:p>
        </w:tc>
        <w:tc>
          <w:tcPr>
            <w:tcW w:w="1872" w:type="dxa"/>
            <w:shd w:val="clear" w:color="auto" w:fill="BFBFBF" w:themeFill="background1" w:themeFillShade="BF"/>
            <w:vAlign w:val="center"/>
          </w:tcPr>
          <w:p w14:paraId="26A9B095" w14:textId="260E361B" w:rsidR="00295071" w:rsidRPr="00DB0F13" w:rsidRDefault="00295071" w:rsidP="009C2705">
            <w:pPr>
              <w:jc w:val="center"/>
              <w:rPr>
                <w:b/>
                <w:color w:val="000000"/>
                <w:sz w:val="22"/>
              </w:rPr>
            </w:pPr>
            <w:r w:rsidRPr="00DB0F13">
              <w:rPr>
                <w:b/>
                <w:sz w:val="22"/>
              </w:rPr>
              <w:t>1,699</w:t>
            </w:r>
          </w:p>
        </w:tc>
        <w:tc>
          <w:tcPr>
            <w:tcW w:w="1873" w:type="dxa"/>
            <w:shd w:val="clear" w:color="auto" w:fill="BFBFBF" w:themeFill="background1" w:themeFillShade="BF"/>
            <w:vAlign w:val="center"/>
          </w:tcPr>
          <w:p w14:paraId="56E80457" w14:textId="0A3E751D" w:rsidR="00295071" w:rsidRPr="00DB0F13" w:rsidRDefault="00295071" w:rsidP="009C2705">
            <w:pPr>
              <w:jc w:val="center"/>
              <w:rPr>
                <w:b/>
                <w:color w:val="000000"/>
                <w:sz w:val="22"/>
              </w:rPr>
            </w:pPr>
            <w:r w:rsidRPr="00DB0F13">
              <w:rPr>
                <w:b/>
                <w:sz w:val="22"/>
              </w:rPr>
              <w:t>3,909</w:t>
            </w:r>
          </w:p>
        </w:tc>
        <w:tc>
          <w:tcPr>
            <w:tcW w:w="1873" w:type="dxa"/>
            <w:shd w:val="clear" w:color="auto" w:fill="BFBFBF" w:themeFill="background1" w:themeFillShade="BF"/>
            <w:vAlign w:val="center"/>
          </w:tcPr>
          <w:p w14:paraId="1DFB70FF" w14:textId="191FA212" w:rsidR="00295071" w:rsidRPr="00DB0F13" w:rsidRDefault="00295071" w:rsidP="009C2705">
            <w:pPr>
              <w:jc w:val="center"/>
              <w:rPr>
                <w:b/>
                <w:color w:val="000000"/>
                <w:sz w:val="22"/>
              </w:rPr>
            </w:pPr>
            <w:r w:rsidRPr="00DB0F13">
              <w:rPr>
                <w:b/>
                <w:sz w:val="22"/>
              </w:rPr>
              <w:t>2,999</w:t>
            </w:r>
          </w:p>
        </w:tc>
      </w:tr>
    </w:tbl>
    <w:p w14:paraId="3D0F32D0" w14:textId="44B99023" w:rsidR="00533425" w:rsidRDefault="00533425" w:rsidP="00494FEF">
      <w:pPr>
        <w:rPr>
          <w:szCs w:val="24"/>
        </w:rPr>
      </w:pPr>
    </w:p>
    <w:p w14:paraId="4CBF3538" w14:textId="7DC8FE37" w:rsidR="008C545E" w:rsidRDefault="00006816" w:rsidP="00533425">
      <w:pPr>
        <w:pStyle w:val="ListParagraph"/>
        <w:ind w:left="0"/>
        <w:rPr>
          <w:szCs w:val="24"/>
        </w:rPr>
      </w:pPr>
      <w:r>
        <w:rPr>
          <w:szCs w:val="24"/>
        </w:rPr>
        <w:t xml:space="preserve">There are stark differences between spring and fall recharge diversions, both in frequency and magnitude.  As discussed previously, there are operational reasons for not diverting recharge water in the spring if there is uncertainty about being able to transition immediately from recharge to normal irrigation operations.  Additionally, the lack of spring recharge diversions is consistent with the 2016 EDO </w:t>
      </w:r>
      <w:r w:rsidR="00296C2D">
        <w:rPr>
          <w:szCs w:val="24"/>
        </w:rPr>
        <w:t>Excess Analysis W</w:t>
      </w:r>
      <w:r>
        <w:rPr>
          <w:szCs w:val="24"/>
        </w:rPr>
        <w:t xml:space="preserve">hite </w:t>
      </w:r>
      <w:r w:rsidR="00296C2D">
        <w:rPr>
          <w:szCs w:val="24"/>
        </w:rPr>
        <w:t>P</w:t>
      </w:r>
      <w:r>
        <w:rPr>
          <w:szCs w:val="24"/>
        </w:rPr>
        <w:t>aper findings that excess flows availability during the First Increment has been less in the early spring months (March, April, May) than during the 1947-1994 historical period.</w:t>
      </w:r>
    </w:p>
    <w:p w14:paraId="119CD01A" w14:textId="77777777" w:rsidR="008C545E" w:rsidRDefault="008C545E" w:rsidP="00533425">
      <w:pPr>
        <w:pStyle w:val="ListParagraph"/>
        <w:ind w:left="0"/>
        <w:rPr>
          <w:szCs w:val="24"/>
        </w:rPr>
      </w:pPr>
    </w:p>
    <w:p w14:paraId="4544EF24" w14:textId="5E69883F" w:rsidR="00533425" w:rsidRDefault="00533425" w:rsidP="00533425">
      <w:pPr>
        <w:pStyle w:val="ListParagraph"/>
        <w:ind w:left="0"/>
        <w:rPr>
          <w:szCs w:val="24"/>
        </w:rPr>
      </w:pPr>
      <w:r>
        <w:rPr>
          <w:szCs w:val="24"/>
        </w:rPr>
        <w:t>The EDO will be working with the NPPD to develop response functions for estimating the timing and volume of baseflow accretions from recharge in the three canals.  As reliable data is not yet available, this water projects accounting memo does not include routing to Grand Island or calculation of shortage reduction credits.  It is anticipated that such information will be included in the next iteration of this memo.</w:t>
      </w:r>
    </w:p>
    <w:p w14:paraId="434DD398" w14:textId="554CA536" w:rsidR="005D0F4D" w:rsidRDefault="004E0658" w:rsidP="00B9798C">
      <w:pPr>
        <w:pStyle w:val="ListParagraph"/>
        <w:numPr>
          <w:ilvl w:val="0"/>
          <w:numId w:val="1"/>
        </w:numPr>
        <w:spacing w:before="360" w:after="240"/>
        <w:rPr>
          <w:b/>
        </w:rPr>
      </w:pPr>
      <w:r>
        <w:rPr>
          <w:b/>
        </w:rPr>
        <w:t>LAKE MCCONAUGHY</w:t>
      </w:r>
    </w:p>
    <w:p w14:paraId="2D7C465C" w14:textId="38D4D0DB" w:rsidR="003C0252" w:rsidRDefault="00F52DC6" w:rsidP="00AB501B">
      <w:pPr>
        <w:pStyle w:val="ListParagraph"/>
        <w:spacing w:before="120" w:after="240"/>
        <w:ind w:left="0"/>
      </w:pPr>
      <w:r>
        <w:t>E</w:t>
      </w:r>
      <w:r w:rsidR="00C4647A">
        <w:t>stablishment of an Environmental Account in Lake McConaughy</w:t>
      </w:r>
      <w:r w:rsidR="00F61940">
        <w:t xml:space="preserve"> to provide water for instream use to benefit downstream fish and wildlife was one of the terms of the 1998 FERC license renewal</w:t>
      </w:r>
      <w:r w:rsidR="00E92BEB">
        <w:t>s</w:t>
      </w:r>
      <w:r w:rsidR="00F61940">
        <w:t xml:space="preserve"> for the operation of the reservoir and hydropower plant.  The Lake McConaughy EA and a portion of the water contributed thereto (i.e., storable natural inflows, discussed below) serve as Nebraska’s contributions to the Program’s initial state water projects.</w:t>
      </w:r>
      <w:r w:rsidR="00A055C5">
        <w:t xml:space="preserve">  Water available in the Lake McConaughy EA from all sources of supply is recorded under permit A-17695</w:t>
      </w:r>
      <w:r w:rsidR="00E55909">
        <w:rPr>
          <w:rStyle w:val="FootnoteReference"/>
        </w:rPr>
        <w:footnoteReference w:id="22"/>
      </w:r>
      <w:r w:rsidR="00A055C5">
        <w:t xml:space="preserve">, which was approved by the NDNR in May 1999 and is included in </w:t>
      </w:r>
      <w:r w:rsidR="00A055C5" w:rsidRPr="00A055C5">
        <w:rPr>
          <w:b/>
        </w:rPr>
        <w:t xml:space="preserve">Appendix </w:t>
      </w:r>
      <w:r w:rsidR="00E27C8F">
        <w:rPr>
          <w:b/>
        </w:rPr>
        <w:t>G</w:t>
      </w:r>
      <w:r w:rsidR="00A055C5">
        <w:t xml:space="preserve">.  A maximum of 200,000 AF may be available in the account at any given time, but if the </w:t>
      </w:r>
      <w:r w:rsidR="00E2289E">
        <w:t>w</w:t>
      </w:r>
      <w:r w:rsidR="00A055C5">
        <w:t>ater level</w:t>
      </w:r>
      <w:r w:rsidR="00E2289E">
        <w:t xml:space="preserve"> in Lake </w:t>
      </w:r>
      <w:r w:rsidR="00E2289E">
        <w:lastRenderedPageBreak/>
        <w:t>McConaughy</w:t>
      </w:r>
      <w:r w:rsidR="00A055C5">
        <w:t xml:space="preserve"> reaches regulatory capacity, the EA </w:t>
      </w:r>
      <w:r w:rsidR="00E2289E">
        <w:t xml:space="preserve">automatically </w:t>
      </w:r>
      <w:r w:rsidR="00A055C5">
        <w:t>resets to 100,000 AF by addition or subtraction</w:t>
      </w:r>
      <w:r w:rsidR="00E2289E">
        <w:t xml:space="preserve"> depending on whether the EA volume was above or below 100,000 AF</w:t>
      </w:r>
      <w:r w:rsidR="00A055C5">
        <w:t>.</w:t>
      </w:r>
      <w:r w:rsidR="003C0252">
        <w:t xml:space="preserve">  </w:t>
      </w:r>
    </w:p>
    <w:p w14:paraId="13A3F4A4" w14:textId="3EDF4DC6" w:rsidR="003C0252" w:rsidRDefault="003C0252" w:rsidP="003C0252">
      <w:pPr>
        <w:pStyle w:val="ListParagraph"/>
        <w:spacing w:before="120" w:after="240"/>
        <w:ind w:left="0"/>
        <w:rPr>
          <w:szCs w:val="24"/>
        </w:rPr>
      </w:pPr>
      <w:r>
        <w:rPr>
          <w:szCs w:val="24"/>
        </w:rPr>
        <w:t>In 2018, there were six total sources of water contributing to the Lake McConaughy EA, a combination of initial state water projects for the Program and water projects implemented under the WAP:</w:t>
      </w:r>
    </w:p>
    <w:p w14:paraId="17B76CCA" w14:textId="6D17A17A" w:rsidR="003C0252" w:rsidRDefault="003C0252" w:rsidP="003C0252">
      <w:pPr>
        <w:pStyle w:val="ListParagraph"/>
        <w:numPr>
          <w:ilvl w:val="0"/>
          <w:numId w:val="10"/>
        </w:numPr>
        <w:rPr>
          <w:szCs w:val="24"/>
        </w:rPr>
      </w:pPr>
      <w:r>
        <w:rPr>
          <w:szCs w:val="24"/>
        </w:rPr>
        <w:t>Storable Natural Inflows</w:t>
      </w:r>
    </w:p>
    <w:p w14:paraId="3E9AC380" w14:textId="76A554FC" w:rsidR="003C0252" w:rsidRDefault="003C0252" w:rsidP="003C0252">
      <w:pPr>
        <w:pStyle w:val="ListParagraph"/>
        <w:numPr>
          <w:ilvl w:val="0"/>
          <w:numId w:val="10"/>
        </w:numPr>
        <w:rPr>
          <w:szCs w:val="24"/>
        </w:rPr>
      </w:pPr>
      <w:r>
        <w:rPr>
          <w:szCs w:val="24"/>
        </w:rPr>
        <w:t>Pathfinder EA</w:t>
      </w:r>
    </w:p>
    <w:p w14:paraId="3FBA2D4D" w14:textId="3818E613" w:rsidR="003C0252" w:rsidRDefault="003C0252" w:rsidP="003C0252">
      <w:pPr>
        <w:pStyle w:val="ListParagraph"/>
        <w:numPr>
          <w:ilvl w:val="0"/>
          <w:numId w:val="10"/>
        </w:numPr>
        <w:rPr>
          <w:szCs w:val="24"/>
        </w:rPr>
      </w:pPr>
      <w:r>
        <w:rPr>
          <w:szCs w:val="24"/>
        </w:rPr>
        <w:t>Pathfinder Municipal Account Lease</w:t>
      </w:r>
    </w:p>
    <w:p w14:paraId="2E3F2F36" w14:textId="7C589C69" w:rsidR="003C0252" w:rsidRDefault="003C0252" w:rsidP="003C0252">
      <w:pPr>
        <w:pStyle w:val="ListParagraph"/>
        <w:numPr>
          <w:ilvl w:val="0"/>
          <w:numId w:val="10"/>
        </w:numPr>
        <w:rPr>
          <w:szCs w:val="24"/>
        </w:rPr>
      </w:pPr>
      <w:r>
        <w:rPr>
          <w:szCs w:val="24"/>
        </w:rPr>
        <w:t>No-Cost NCCW</w:t>
      </w:r>
    </w:p>
    <w:p w14:paraId="6E756B91" w14:textId="21F65B6B" w:rsidR="003C0252" w:rsidRDefault="003C0252" w:rsidP="003C0252">
      <w:pPr>
        <w:pStyle w:val="ListParagraph"/>
        <w:numPr>
          <w:ilvl w:val="0"/>
          <w:numId w:val="10"/>
        </w:numPr>
        <w:rPr>
          <w:szCs w:val="24"/>
        </w:rPr>
      </w:pPr>
      <w:r>
        <w:rPr>
          <w:szCs w:val="24"/>
        </w:rPr>
        <w:t>CNPPID Irrigator Lease</w:t>
      </w:r>
    </w:p>
    <w:p w14:paraId="031DEC65" w14:textId="3FE6B4A2" w:rsidR="003C0252" w:rsidRDefault="003C0252" w:rsidP="003C0252">
      <w:pPr>
        <w:pStyle w:val="ListParagraph"/>
        <w:numPr>
          <w:ilvl w:val="0"/>
          <w:numId w:val="10"/>
        </w:numPr>
        <w:spacing w:after="240"/>
        <w:rPr>
          <w:szCs w:val="24"/>
        </w:rPr>
      </w:pPr>
      <w:r>
        <w:rPr>
          <w:szCs w:val="24"/>
        </w:rPr>
        <w:t>CPNRD Surface Water Lease</w:t>
      </w:r>
    </w:p>
    <w:p w14:paraId="3F5EC2AA" w14:textId="64C34A32" w:rsidR="00E735AF" w:rsidRDefault="00E735AF" w:rsidP="00AB501B">
      <w:pPr>
        <w:pStyle w:val="ListParagraph"/>
        <w:spacing w:before="120" w:after="240"/>
        <w:ind w:left="0"/>
      </w:pPr>
      <w:r>
        <w:t xml:space="preserve">The following sections discuss </w:t>
      </w:r>
      <w:r w:rsidR="006540C2">
        <w:t>these individual</w:t>
      </w:r>
      <w:r>
        <w:t xml:space="preserve"> water supply sources contributing to the Lake McConaughy EA</w:t>
      </w:r>
      <w:r w:rsidR="006540C2">
        <w:t xml:space="preserve"> as well as the aggregate releases from the account</w:t>
      </w:r>
      <w:r>
        <w:t>.</w:t>
      </w:r>
    </w:p>
    <w:p w14:paraId="77F6B994" w14:textId="0937B3ED" w:rsidR="005D0F4D" w:rsidRDefault="004E0658" w:rsidP="00B9798C">
      <w:pPr>
        <w:pStyle w:val="ListParagraph"/>
        <w:numPr>
          <w:ilvl w:val="0"/>
          <w:numId w:val="3"/>
        </w:numPr>
        <w:spacing w:before="240" w:after="240"/>
        <w:ind w:left="360"/>
        <w:rPr>
          <w:b/>
        </w:rPr>
      </w:pPr>
      <w:r>
        <w:rPr>
          <w:b/>
        </w:rPr>
        <w:t>Storable Natural Inflows</w:t>
      </w:r>
    </w:p>
    <w:p w14:paraId="5BF47FD7" w14:textId="691A66C5" w:rsidR="00871031" w:rsidRDefault="00C664A9" w:rsidP="00AB501B">
      <w:pPr>
        <w:pStyle w:val="ListParagraph"/>
        <w:spacing w:before="120" w:after="240"/>
        <w:ind w:left="0"/>
        <w:rPr>
          <w:szCs w:val="24"/>
        </w:rPr>
      </w:pPr>
      <w:r>
        <w:rPr>
          <w:szCs w:val="24"/>
        </w:rPr>
        <w:t>Nebraska’s contribution to the Program’s initial state water projects includes 10</w:t>
      </w:r>
      <w:r w:rsidR="001C2E6F">
        <w:rPr>
          <w:szCs w:val="24"/>
        </w:rPr>
        <w:t xml:space="preserve"> percent</w:t>
      </w:r>
      <w:r>
        <w:rPr>
          <w:szCs w:val="24"/>
        </w:rPr>
        <w:t xml:space="preserve"> of the Storable Natural Inflows (SNI) entering Lake McConaughy during the October through April non-irrigation season months.  The volume of SNI water is based on measurements from the North Platte River at Lewellen, Nebraska gage (USGS 06687500), which is located at the upstream end of the reservoir.  The 10</w:t>
      </w:r>
      <w:r w:rsidR="001C2E6F">
        <w:rPr>
          <w:szCs w:val="24"/>
        </w:rPr>
        <w:t xml:space="preserve"> percen</w:t>
      </w:r>
      <w:r>
        <w:rPr>
          <w:szCs w:val="24"/>
        </w:rPr>
        <w:t xml:space="preserve">t </w:t>
      </w:r>
      <w:r w:rsidR="005F6506">
        <w:rPr>
          <w:szCs w:val="24"/>
        </w:rPr>
        <w:t>SNI allocation</w:t>
      </w:r>
      <w:r>
        <w:rPr>
          <w:szCs w:val="24"/>
        </w:rPr>
        <w:t xml:space="preserve"> is credited to the Lake McConaughy EA.</w:t>
      </w:r>
      <w:r w:rsidR="00F475E8">
        <w:rPr>
          <w:szCs w:val="24"/>
        </w:rPr>
        <w:t xml:space="preserve">  </w:t>
      </w:r>
      <w:r w:rsidR="00F475E8" w:rsidRPr="00F475E8">
        <w:rPr>
          <w:b/>
          <w:szCs w:val="24"/>
        </w:rPr>
        <w:t xml:space="preserve">Table </w:t>
      </w:r>
      <w:r w:rsidR="00E27C8F">
        <w:rPr>
          <w:b/>
          <w:szCs w:val="24"/>
        </w:rPr>
        <w:t>8</w:t>
      </w:r>
      <w:r w:rsidR="00E27C8F">
        <w:rPr>
          <w:szCs w:val="24"/>
        </w:rPr>
        <w:t xml:space="preserve"> </w:t>
      </w:r>
      <w:r w:rsidR="00F475E8">
        <w:rPr>
          <w:szCs w:val="24"/>
        </w:rPr>
        <w:t xml:space="preserve">presents SNI yields for the Lake McConaughy EA since the inception of the First Increment in 2007.  In calendar year 2018, SNI credited to the Lake McConaughy EA from January 1-April 30 and October 1-December 31 totaled </w:t>
      </w:r>
      <w:r w:rsidR="00E2289E">
        <w:rPr>
          <w:szCs w:val="24"/>
        </w:rPr>
        <w:t>47,198</w:t>
      </w:r>
      <w:r w:rsidR="00F475E8">
        <w:rPr>
          <w:szCs w:val="24"/>
        </w:rPr>
        <w:t xml:space="preserve"> AF.  </w:t>
      </w:r>
    </w:p>
    <w:p w14:paraId="0A9E294D" w14:textId="77777777" w:rsidR="00871031" w:rsidRDefault="00871031">
      <w:pPr>
        <w:rPr>
          <w:szCs w:val="24"/>
        </w:rPr>
      </w:pPr>
      <w:r>
        <w:rPr>
          <w:szCs w:val="24"/>
        </w:rPr>
        <w:br w:type="page"/>
      </w:r>
    </w:p>
    <w:p w14:paraId="030F1B0F" w14:textId="1A43A03F" w:rsidR="00150537" w:rsidRPr="003064B6" w:rsidRDefault="00150537" w:rsidP="00150537">
      <w:pPr>
        <w:spacing w:line="240" w:lineRule="exact"/>
        <w:rPr>
          <w:b/>
          <w:sz w:val="22"/>
        </w:rPr>
      </w:pPr>
      <w:r w:rsidRPr="003064B6">
        <w:rPr>
          <w:b/>
          <w:sz w:val="22"/>
        </w:rPr>
        <w:lastRenderedPageBreak/>
        <w:t xml:space="preserve">Table </w:t>
      </w:r>
      <w:r w:rsidR="00E27C8F">
        <w:rPr>
          <w:b/>
          <w:sz w:val="22"/>
        </w:rPr>
        <w:t>8</w:t>
      </w:r>
      <w:r w:rsidR="009D4FD7">
        <w:rPr>
          <w:b/>
          <w:sz w:val="22"/>
        </w:rPr>
        <w:t>.</w:t>
      </w:r>
      <w:r w:rsidRPr="003064B6">
        <w:rPr>
          <w:b/>
          <w:sz w:val="22"/>
        </w:rPr>
        <w:t xml:space="preserve"> Lake McConaughy EA Storable Natural Inflows (SNI) Yields</w:t>
      </w:r>
    </w:p>
    <w:tbl>
      <w:tblPr>
        <w:tblW w:w="9265" w:type="dxa"/>
        <w:tblLayout w:type="fixed"/>
        <w:tblLook w:val="04A0" w:firstRow="1" w:lastRow="0" w:firstColumn="1" w:lastColumn="0" w:noHBand="0" w:noVBand="1"/>
      </w:tblPr>
      <w:tblGrid>
        <w:gridCol w:w="3055"/>
        <w:gridCol w:w="6210"/>
      </w:tblGrid>
      <w:tr w:rsidR="000B6670" w:rsidRPr="003064B6" w14:paraId="48284FAA" w14:textId="77777777" w:rsidTr="00537613">
        <w:trPr>
          <w:trHeight w:val="467"/>
        </w:trPr>
        <w:tc>
          <w:tcPr>
            <w:tcW w:w="3055"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hideMark/>
          </w:tcPr>
          <w:p w14:paraId="758DC658" w14:textId="6DA3B7A7" w:rsidR="000B6670" w:rsidRPr="00DB0F13" w:rsidRDefault="000B6670" w:rsidP="00B76952">
            <w:pPr>
              <w:jc w:val="center"/>
              <w:rPr>
                <w:b/>
                <w:bCs/>
                <w:color w:val="000000"/>
                <w:sz w:val="22"/>
              </w:rPr>
            </w:pPr>
            <w:r w:rsidRPr="00DB0F13">
              <w:rPr>
                <w:b/>
                <w:bCs/>
                <w:color w:val="000000"/>
                <w:sz w:val="22"/>
              </w:rPr>
              <w:t xml:space="preserve">Year </w:t>
            </w:r>
          </w:p>
        </w:tc>
        <w:tc>
          <w:tcPr>
            <w:tcW w:w="6210" w:type="dxa"/>
            <w:tcBorders>
              <w:top w:val="single" w:sz="4" w:space="0" w:color="auto"/>
              <w:left w:val="nil"/>
              <w:bottom w:val="single" w:sz="4" w:space="0" w:color="auto"/>
              <w:right w:val="single" w:sz="4" w:space="0" w:color="auto"/>
            </w:tcBorders>
            <w:shd w:val="clear" w:color="auto" w:fill="C2D69B" w:themeFill="accent3" w:themeFillTint="99"/>
            <w:vAlign w:val="bottom"/>
            <w:hideMark/>
          </w:tcPr>
          <w:p w14:paraId="5AFF0B24" w14:textId="3B498D14" w:rsidR="000B6670" w:rsidRPr="00DB0F13" w:rsidRDefault="00C916D5" w:rsidP="00B76952">
            <w:pPr>
              <w:jc w:val="center"/>
              <w:rPr>
                <w:b/>
                <w:bCs/>
                <w:color w:val="000000"/>
                <w:sz w:val="22"/>
              </w:rPr>
            </w:pPr>
            <w:r>
              <w:rPr>
                <w:b/>
                <w:bCs/>
                <w:color w:val="000000"/>
                <w:sz w:val="22"/>
              </w:rPr>
              <w:t>Storable Natural Inflows Credi</w:t>
            </w:r>
            <w:r w:rsidR="00C55ADF">
              <w:rPr>
                <w:b/>
                <w:bCs/>
                <w:color w:val="000000"/>
                <w:sz w:val="22"/>
              </w:rPr>
              <w:t>ted to</w:t>
            </w:r>
            <w:r w:rsidR="000B6670" w:rsidRPr="00DB0F13">
              <w:rPr>
                <w:b/>
                <w:bCs/>
                <w:color w:val="000000"/>
                <w:sz w:val="22"/>
              </w:rPr>
              <w:t xml:space="preserve"> EA</w:t>
            </w:r>
            <w:r w:rsidR="000B6670" w:rsidRPr="00DB0F13">
              <w:rPr>
                <w:b/>
                <w:bCs/>
                <w:color w:val="000000"/>
                <w:sz w:val="22"/>
                <w:vertAlign w:val="superscript"/>
              </w:rPr>
              <w:t>1</w:t>
            </w:r>
            <w:r w:rsidR="000B6670" w:rsidRPr="00DB0F13">
              <w:rPr>
                <w:b/>
                <w:bCs/>
                <w:color w:val="000000"/>
                <w:sz w:val="22"/>
              </w:rPr>
              <w:t xml:space="preserve"> </w:t>
            </w:r>
          </w:p>
          <w:p w14:paraId="055B4783" w14:textId="1CCFFA67" w:rsidR="000B6670" w:rsidRPr="00DB0F13" w:rsidRDefault="000B6670" w:rsidP="00B76952">
            <w:pPr>
              <w:jc w:val="center"/>
              <w:rPr>
                <w:b/>
                <w:bCs/>
                <w:color w:val="000000"/>
                <w:sz w:val="22"/>
              </w:rPr>
            </w:pPr>
            <w:r w:rsidRPr="00DB0F13">
              <w:rPr>
                <w:b/>
                <w:bCs/>
                <w:color w:val="000000"/>
                <w:sz w:val="22"/>
              </w:rPr>
              <w:t>(AF)</w:t>
            </w:r>
          </w:p>
        </w:tc>
      </w:tr>
      <w:tr w:rsidR="000B6670" w:rsidRPr="003064B6" w14:paraId="4D709087" w14:textId="77777777" w:rsidTr="000B6670">
        <w:trPr>
          <w:trHeight w:val="288"/>
        </w:trPr>
        <w:tc>
          <w:tcPr>
            <w:tcW w:w="3055" w:type="dxa"/>
            <w:tcBorders>
              <w:top w:val="nil"/>
              <w:left w:val="single" w:sz="4" w:space="0" w:color="auto"/>
              <w:bottom w:val="single" w:sz="4" w:space="0" w:color="auto"/>
              <w:right w:val="single" w:sz="4" w:space="0" w:color="auto"/>
            </w:tcBorders>
            <w:shd w:val="clear" w:color="auto" w:fill="auto"/>
            <w:noWrap/>
            <w:vAlign w:val="center"/>
          </w:tcPr>
          <w:p w14:paraId="4D84F7D6" w14:textId="77777777" w:rsidR="000B6670" w:rsidRPr="00DB0F13" w:rsidRDefault="000B6670" w:rsidP="009D7258">
            <w:pPr>
              <w:jc w:val="center"/>
              <w:rPr>
                <w:color w:val="000000"/>
                <w:sz w:val="22"/>
              </w:rPr>
            </w:pPr>
            <w:r w:rsidRPr="00DB0F13">
              <w:rPr>
                <w:color w:val="000000"/>
                <w:sz w:val="22"/>
              </w:rPr>
              <w:t>2007</w:t>
            </w:r>
          </w:p>
        </w:tc>
        <w:tc>
          <w:tcPr>
            <w:tcW w:w="6210" w:type="dxa"/>
            <w:tcBorders>
              <w:top w:val="nil"/>
              <w:left w:val="nil"/>
              <w:bottom w:val="single" w:sz="4" w:space="0" w:color="auto"/>
              <w:right w:val="single" w:sz="4" w:space="0" w:color="auto"/>
            </w:tcBorders>
            <w:shd w:val="clear" w:color="auto" w:fill="auto"/>
            <w:noWrap/>
            <w:vAlign w:val="center"/>
          </w:tcPr>
          <w:p w14:paraId="0124A6BC" w14:textId="1CF4B8BD" w:rsidR="000B6670" w:rsidRPr="00DB0F13" w:rsidRDefault="000B6670" w:rsidP="009D7258">
            <w:pPr>
              <w:jc w:val="center"/>
              <w:rPr>
                <w:color w:val="000000"/>
                <w:sz w:val="22"/>
              </w:rPr>
            </w:pPr>
            <w:r w:rsidRPr="00DB0F13">
              <w:rPr>
                <w:sz w:val="22"/>
              </w:rPr>
              <w:t>34,500</w:t>
            </w:r>
          </w:p>
        </w:tc>
      </w:tr>
      <w:tr w:rsidR="000B6670" w:rsidRPr="003064B6" w14:paraId="7C5CF81D" w14:textId="77777777" w:rsidTr="000B6670">
        <w:trPr>
          <w:trHeight w:val="288"/>
        </w:trPr>
        <w:tc>
          <w:tcPr>
            <w:tcW w:w="3055" w:type="dxa"/>
            <w:tcBorders>
              <w:top w:val="nil"/>
              <w:left w:val="single" w:sz="4" w:space="0" w:color="auto"/>
              <w:bottom w:val="single" w:sz="4" w:space="0" w:color="auto"/>
              <w:right w:val="single" w:sz="4" w:space="0" w:color="auto"/>
            </w:tcBorders>
            <w:shd w:val="clear" w:color="auto" w:fill="auto"/>
            <w:noWrap/>
            <w:vAlign w:val="center"/>
          </w:tcPr>
          <w:p w14:paraId="72657C08" w14:textId="77777777" w:rsidR="000B6670" w:rsidRPr="00DB0F13" w:rsidRDefault="000B6670" w:rsidP="009D7258">
            <w:pPr>
              <w:jc w:val="center"/>
              <w:rPr>
                <w:color w:val="000000"/>
                <w:sz w:val="22"/>
              </w:rPr>
            </w:pPr>
            <w:r w:rsidRPr="00DB0F13">
              <w:rPr>
                <w:color w:val="000000"/>
                <w:sz w:val="22"/>
              </w:rPr>
              <w:t>2008</w:t>
            </w:r>
          </w:p>
        </w:tc>
        <w:tc>
          <w:tcPr>
            <w:tcW w:w="6210" w:type="dxa"/>
            <w:tcBorders>
              <w:top w:val="nil"/>
              <w:left w:val="nil"/>
              <w:bottom w:val="single" w:sz="4" w:space="0" w:color="auto"/>
              <w:right w:val="single" w:sz="4" w:space="0" w:color="auto"/>
            </w:tcBorders>
            <w:shd w:val="clear" w:color="auto" w:fill="auto"/>
            <w:noWrap/>
            <w:vAlign w:val="center"/>
          </w:tcPr>
          <w:p w14:paraId="3A543BD0" w14:textId="7F8CF411" w:rsidR="000B6670" w:rsidRPr="00DB0F13" w:rsidRDefault="000B6670" w:rsidP="009D7258">
            <w:pPr>
              <w:jc w:val="center"/>
              <w:rPr>
                <w:color w:val="000000"/>
                <w:sz w:val="22"/>
              </w:rPr>
            </w:pPr>
            <w:r w:rsidRPr="00DB0F13">
              <w:rPr>
                <w:sz w:val="22"/>
              </w:rPr>
              <w:t>37,400</w:t>
            </w:r>
          </w:p>
        </w:tc>
      </w:tr>
      <w:tr w:rsidR="000B6670" w:rsidRPr="003064B6" w14:paraId="19EAC14F" w14:textId="77777777" w:rsidTr="000B6670">
        <w:trPr>
          <w:trHeight w:val="288"/>
        </w:trPr>
        <w:tc>
          <w:tcPr>
            <w:tcW w:w="3055" w:type="dxa"/>
            <w:tcBorders>
              <w:top w:val="nil"/>
              <w:left w:val="single" w:sz="4" w:space="0" w:color="auto"/>
              <w:bottom w:val="single" w:sz="4" w:space="0" w:color="auto"/>
              <w:right w:val="single" w:sz="4" w:space="0" w:color="auto"/>
            </w:tcBorders>
            <w:shd w:val="clear" w:color="auto" w:fill="auto"/>
            <w:noWrap/>
            <w:vAlign w:val="center"/>
          </w:tcPr>
          <w:p w14:paraId="15A76488" w14:textId="77777777" w:rsidR="000B6670" w:rsidRPr="00DB0F13" w:rsidRDefault="000B6670" w:rsidP="009D7258">
            <w:pPr>
              <w:jc w:val="center"/>
              <w:rPr>
                <w:color w:val="000000"/>
                <w:sz w:val="22"/>
              </w:rPr>
            </w:pPr>
            <w:r w:rsidRPr="00DB0F13">
              <w:rPr>
                <w:color w:val="000000"/>
                <w:sz w:val="22"/>
              </w:rPr>
              <w:t>2009</w:t>
            </w:r>
          </w:p>
        </w:tc>
        <w:tc>
          <w:tcPr>
            <w:tcW w:w="6210" w:type="dxa"/>
            <w:tcBorders>
              <w:top w:val="nil"/>
              <w:left w:val="nil"/>
              <w:bottom w:val="single" w:sz="4" w:space="0" w:color="auto"/>
              <w:right w:val="single" w:sz="4" w:space="0" w:color="auto"/>
            </w:tcBorders>
            <w:shd w:val="clear" w:color="auto" w:fill="auto"/>
            <w:noWrap/>
            <w:vAlign w:val="center"/>
          </w:tcPr>
          <w:p w14:paraId="51C8607D" w14:textId="04FBF8B4" w:rsidR="000B6670" w:rsidRPr="00DB0F13" w:rsidRDefault="000B6670" w:rsidP="009D7258">
            <w:pPr>
              <w:jc w:val="center"/>
              <w:rPr>
                <w:color w:val="000000"/>
                <w:sz w:val="22"/>
              </w:rPr>
            </w:pPr>
            <w:r w:rsidRPr="00DB0F13">
              <w:rPr>
                <w:sz w:val="22"/>
              </w:rPr>
              <w:t>39,700</w:t>
            </w:r>
          </w:p>
        </w:tc>
      </w:tr>
      <w:tr w:rsidR="000B6670" w:rsidRPr="003064B6" w14:paraId="2180E134" w14:textId="77777777" w:rsidTr="000B6670">
        <w:trPr>
          <w:trHeight w:val="288"/>
        </w:trPr>
        <w:tc>
          <w:tcPr>
            <w:tcW w:w="3055" w:type="dxa"/>
            <w:tcBorders>
              <w:top w:val="nil"/>
              <w:left w:val="single" w:sz="4" w:space="0" w:color="auto"/>
              <w:bottom w:val="single" w:sz="4" w:space="0" w:color="auto"/>
              <w:right w:val="single" w:sz="4" w:space="0" w:color="auto"/>
            </w:tcBorders>
            <w:shd w:val="clear" w:color="auto" w:fill="auto"/>
            <w:noWrap/>
            <w:vAlign w:val="center"/>
          </w:tcPr>
          <w:p w14:paraId="5E06A3E0" w14:textId="77777777" w:rsidR="000B6670" w:rsidRPr="00DB0F13" w:rsidRDefault="000B6670" w:rsidP="009D7258">
            <w:pPr>
              <w:jc w:val="center"/>
              <w:rPr>
                <w:color w:val="000000"/>
                <w:sz w:val="22"/>
              </w:rPr>
            </w:pPr>
            <w:r w:rsidRPr="00DB0F13">
              <w:rPr>
                <w:color w:val="000000"/>
                <w:sz w:val="22"/>
              </w:rPr>
              <w:t>2010</w:t>
            </w:r>
          </w:p>
        </w:tc>
        <w:tc>
          <w:tcPr>
            <w:tcW w:w="6210" w:type="dxa"/>
            <w:tcBorders>
              <w:top w:val="nil"/>
              <w:left w:val="nil"/>
              <w:bottom w:val="single" w:sz="4" w:space="0" w:color="auto"/>
              <w:right w:val="single" w:sz="4" w:space="0" w:color="auto"/>
            </w:tcBorders>
            <w:shd w:val="clear" w:color="auto" w:fill="auto"/>
            <w:noWrap/>
            <w:vAlign w:val="center"/>
          </w:tcPr>
          <w:p w14:paraId="3FC9C0B6" w14:textId="169D6FE2" w:rsidR="000B6670" w:rsidRPr="00DB0F13" w:rsidRDefault="000B6670" w:rsidP="009D7258">
            <w:pPr>
              <w:jc w:val="center"/>
              <w:rPr>
                <w:color w:val="000000"/>
                <w:sz w:val="22"/>
              </w:rPr>
            </w:pPr>
            <w:r w:rsidRPr="00DB0F13">
              <w:rPr>
                <w:sz w:val="22"/>
              </w:rPr>
              <w:t>37,500</w:t>
            </w:r>
          </w:p>
        </w:tc>
      </w:tr>
      <w:tr w:rsidR="000B6670" w:rsidRPr="003064B6" w14:paraId="768888BB" w14:textId="77777777" w:rsidTr="000B6670">
        <w:trPr>
          <w:trHeight w:val="288"/>
        </w:trPr>
        <w:tc>
          <w:tcPr>
            <w:tcW w:w="3055" w:type="dxa"/>
            <w:tcBorders>
              <w:top w:val="nil"/>
              <w:left w:val="single" w:sz="4" w:space="0" w:color="auto"/>
              <w:bottom w:val="single" w:sz="4" w:space="0" w:color="auto"/>
              <w:right w:val="single" w:sz="4" w:space="0" w:color="auto"/>
            </w:tcBorders>
            <w:shd w:val="clear" w:color="auto" w:fill="auto"/>
            <w:noWrap/>
            <w:vAlign w:val="center"/>
          </w:tcPr>
          <w:p w14:paraId="684C45C7" w14:textId="77777777" w:rsidR="000B6670" w:rsidRPr="00DB0F13" w:rsidRDefault="000B6670" w:rsidP="009D7258">
            <w:pPr>
              <w:jc w:val="center"/>
              <w:rPr>
                <w:color w:val="000000"/>
                <w:sz w:val="22"/>
              </w:rPr>
            </w:pPr>
            <w:r w:rsidRPr="00DB0F13">
              <w:rPr>
                <w:color w:val="000000"/>
                <w:sz w:val="22"/>
              </w:rPr>
              <w:t>2011</w:t>
            </w:r>
          </w:p>
        </w:tc>
        <w:tc>
          <w:tcPr>
            <w:tcW w:w="6210" w:type="dxa"/>
            <w:tcBorders>
              <w:top w:val="nil"/>
              <w:left w:val="nil"/>
              <w:bottom w:val="single" w:sz="4" w:space="0" w:color="auto"/>
              <w:right w:val="single" w:sz="4" w:space="0" w:color="auto"/>
            </w:tcBorders>
            <w:shd w:val="clear" w:color="auto" w:fill="auto"/>
            <w:noWrap/>
            <w:vAlign w:val="center"/>
          </w:tcPr>
          <w:p w14:paraId="511DE4D8" w14:textId="458304CF" w:rsidR="000B6670" w:rsidRPr="00DB0F13" w:rsidRDefault="000B6670" w:rsidP="009D7258">
            <w:pPr>
              <w:jc w:val="center"/>
              <w:rPr>
                <w:color w:val="000000"/>
                <w:sz w:val="22"/>
              </w:rPr>
            </w:pPr>
            <w:r w:rsidRPr="00DB0F13">
              <w:rPr>
                <w:sz w:val="22"/>
              </w:rPr>
              <w:t>27,200</w:t>
            </w:r>
          </w:p>
        </w:tc>
      </w:tr>
      <w:tr w:rsidR="000B6670" w:rsidRPr="003064B6" w14:paraId="39A1D7D4" w14:textId="77777777" w:rsidTr="000B6670">
        <w:trPr>
          <w:trHeight w:val="288"/>
        </w:trPr>
        <w:tc>
          <w:tcPr>
            <w:tcW w:w="3055" w:type="dxa"/>
            <w:tcBorders>
              <w:top w:val="nil"/>
              <w:left w:val="single" w:sz="4" w:space="0" w:color="auto"/>
              <w:bottom w:val="single" w:sz="4" w:space="0" w:color="auto"/>
              <w:right w:val="single" w:sz="4" w:space="0" w:color="auto"/>
            </w:tcBorders>
            <w:shd w:val="clear" w:color="auto" w:fill="auto"/>
            <w:noWrap/>
            <w:vAlign w:val="center"/>
          </w:tcPr>
          <w:p w14:paraId="6EF25E06" w14:textId="77777777" w:rsidR="000B6670" w:rsidRPr="00DB0F13" w:rsidRDefault="000B6670" w:rsidP="009D7258">
            <w:pPr>
              <w:jc w:val="center"/>
              <w:rPr>
                <w:color w:val="000000"/>
                <w:sz w:val="22"/>
              </w:rPr>
            </w:pPr>
            <w:r w:rsidRPr="00DB0F13">
              <w:rPr>
                <w:color w:val="000000"/>
                <w:sz w:val="22"/>
              </w:rPr>
              <w:t>2012</w:t>
            </w:r>
          </w:p>
        </w:tc>
        <w:tc>
          <w:tcPr>
            <w:tcW w:w="6210" w:type="dxa"/>
            <w:tcBorders>
              <w:top w:val="nil"/>
              <w:left w:val="nil"/>
              <w:bottom w:val="single" w:sz="4" w:space="0" w:color="auto"/>
              <w:right w:val="single" w:sz="4" w:space="0" w:color="auto"/>
            </w:tcBorders>
            <w:shd w:val="clear" w:color="auto" w:fill="auto"/>
            <w:noWrap/>
            <w:vAlign w:val="center"/>
          </w:tcPr>
          <w:p w14:paraId="630E0231" w14:textId="5681242B" w:rsidR="000B6670" w:rsidRPr="00DB0F13" w:rsidRDefault="000B6670" w:rsidP="009D7258">
            <w:pPr>
              <w:jc w:val="center"/>
              <w:rPr>
                <w:color w:val="000000"/>
                <w:sz w:val="22"/>
              </w:rPr>
            </w:pPr>
            <w:r w:rsidRPr="00DB0F13">
              <w:rPr>
                <w:sz w:val="22"/>
              </w:rPr>
              <w:t>43,800</w:t>
            </w:r>
          </w:p>
        </w:tc>
      </w:tr>
      <w:tr w:rsidR="000B6670" w:rsidRPr="003064B6" w14:paraId="1A1AD67A" w14:textId="77777777" w:rsidTr="000B6670">
        <w:trPr>
          <w:trHeight w:val="288"/>
        </w:trPr>
        <w:tc>
          <w:tcPr>
            <w:tcW w:w="3055" w:type="dxa"/>
            <w:tcBorders>
              <w:top w:val="nil"/>
              <w:left w:val="single" w:sz="4" w:space="0" w:color="auto"/>
              <w:bottom w:val="single" w:sz="4" w:space="0" w:color="auto"/>
              <w:right w:val="single" w:sz="4" w:space="0" w:color="auto"/>
            </w:tcBorders>
            <w:shd w:val="clear" w:color="auto" w:fill="auto"/>
            <w:noWrap/>
            <w:vAlign w:val="center"/>
          </w:tcPr>
          <w:p w14:paraId="10E1BEBA" w14:textId="77777777" w:rsidR="000B6670" w:rsidRPr="00DB0F13" w:rsidRDefault="000B6670" w:rsidP="009D7258">
            <w:pPr>
              <w:jc w:val="center"/>
              <w:rPr>
                <w:color w:val="000000"/>
                <w:sz w:val="22"/>
              </w:rPr>
            </w:pPr>
            <w:r w:rsidRPr="00DB0F13">
              <w:rPr>
                <w:color w:val="000000"/>
                <w:sz w:val="22"/>
              </w:rPr>
              <w:t>2013</w:t>
            </w:r>
          </w:p>
        </w:tc>
        <w:tc>
          <w:tcPr>
            <w:tcW w:w="6210" w:type="dxa"/>
            <w:tcBorders>
              <w:top w:val="nil"/>
              <w:left w:val="nil"/>
              <w:bottom w:val="single" w:sz="4" w:space="0" w:color="auto"/>
              <w:right w:val="single" w:sz="4" w:space="0" w:color="auto"/>
            </w:tcBorders>
            <w:shd w:val="clear" w:color="auto" w:fill="auto"/>
            <w:noWrap/>
            <w:vAlign w:val="center"/>
          </w:tcPr>
          <w:p w14:paraId="3F5EAFD3" w14:textId="53AF22F9" w:rsidR="000B6670" w:rsidRPr="00DB0F13" w:rsidRDefault="000B6670" w:rsidP="009D7258">
            <w:pPr>
              <w:jc w:val="center"/>
              <w:rPr>
                <w:color w:val="000000"/>
                <w:sz w:val="22"/>
              </w:rPr>
            </w:pPr>
            <w:r w:rsidRPr="00DB0F13">
              <w:rPr>
                <w:sz w:val="22"/>
              </w:rPr>
              <w:t>39,600</w:t>
            </w:r>
          </w:p>
        </w:tc>
      </w:tr>
      <w:tr w:rsidR="000B6670" w:rsidRPr="003064B6" w14:paraId="31280783" w14:textId="77777777" w:rsidTr="000B6670">
        <w:trPr>
          <w:trHeight w:val="288"/>
        </w:trPr>
        <w:tc>
          <w:tcPr>
            <w:tcW w:w="3055" w:type="dxa"/>
            <w:tcBorders>
              <w:top w:val="nil"/>
              <w:left w:val="single" w:sz="4" w:space="0" w:color="auto"/>
              <w:bottom w:val="single" w:sz="4" w:space="0" w:color="auto"/>
              <w:right w:val="single" w:sz="4" w:space="0" w:color="auto"/>
            </w:tcBorders>
            <w:shd w:val="clear" w:color="auto" w:fill="auto"/>
            <w:noWrap/>
            <w:vAlign w:val="center"/>
          </w:tcPr>
          <w:p w14:paraId="12A2D5AC" w14:textId="77777777" w:rsidR="000B6670" w:rsidRPr="00DB0F13" w:rsidRDefault="000B6670" w:rsidP="009D7258">
            <w:pPr>
              <w:jc w:val="center"/>
              <w:rPr>
                <w:color w:val="000000"/>
                <w:sz w:val="22"/>
              </w:rPr>
            </w:pPr>
            <w:r w:rsidRPr="00DB0F13">
              <w:rPr>
                <w:color w:val="000000"/>
                <w:sz w:val="22"/>
              </w:rPr>
              <w:t>2014</w:t>
            </w:r>
          </w:p>
        </w:tc>
        <w:tc>
          <w:tcPr>
            <w:tcW w:w="6210" w:type="dxa"/>
            <w:tcBorders>
              <w:top w:val="nil"/>
              <w:left w:val="nil"/>
              <w:bottom w:val="single" w:sz="4" w:space="0" w:color="auto"/>
              <w:right w:val="single" w:sz="4" w:space="0" w:color="auto"/>
            </w:tcBorders>
            <w:shd w:val="clear" w:color="auto" w:fill="auto"/>
            <w:noWrap/>
            <w:vAlign w:val="center"/>
          </w:tcPr>
          <w:p w14:paraId="0BEBE8AD" w14:textId="695C28C7" w:rsidR="000B6670" w:rsidRPr="00DB0F13" w:rsidRDefault="000B6670" w:rsidP="009D7258">
            <w:pPr>
              <w:jc w:val="center"/>
              <w:rPr>
                <w:color w:val="000000"/>
                <w:sz w:val="22"/>
              </w:rPr>
            </w:pPr>
            <w:r w:rsidRPr="00DB0F13">
              <w:rPr>
                <w:sz w:val="22"/>
              </w:rPr>
              <w:t>45,000</w:t>
            </w:r>
          </w:p>
        </w:tc>
      </w:tr>
      <w:tr w:rsidR="000B6670" w:rsidRPr="003064B6" w14:paraId="420D4E23" w14:textId="77777777" w:rsidTr="000B6670">
        <w:trPr>
          <w:trHeight w:val="288"/>
        </w:trPr>
        <w:tc>
          <w:tcPr>
            <w:tcW w:w="3055" w:type="dxa"/>
            <w:tcBorders>
              <w:top w:val="nil"/>
              <w:left w:val="single" w:sz="4" w:space="0" w:color="auto"/>
              <w:bottom w:val="single" w:sz="4" w:space="0" w:color="auto"/>
              <w:right w:val="single" w:sz="4" w:space="0" w:color="auto"/>
            </w:tcBorders>
            <w:shd w:val="clear" w:color="auto" w:fill="auto"/>
            <w:noWrap/>
            <w:vAlign w:val="center"/>
            <w:hideMark/>
          </w:tcPr>
          <w:p w14:paraId="67B5000F" w14:textId="77777777" w:rsidR="000B6670" w:rsidRPr="00DB0F13" w:rsidRDefault="000B6670" w:rsidP="009D7258">
            <w:pPr>
              <w:jc w:val="center"/>
              <w:rPr>
                <w:color w:val="000000"/>
                <w:sz w:val="22"/>
              </w:rPr>
            </w:pPr>
            <w:r w:rsidRPr="00DB0F13">
              <w:rPr>
                <w:color w:val="000000"/>
                <w:sz w:val="22"/>
              </w:rPr>
              <w:t>2015</w:t>
            </w:r>
          </w:p>
        </w:tc>
        <w:tc>
          <w:tcPr>
            <w:tcW w:w="6210" w:type="dxa"/>
            <w:tcBorders>
              <w:top w:val="nil"/>
              <w:left w:val="nil"/>
              <w:bottom w:val="single" w:sz="4" w:space="0" w:color="auto"/>
              <w:right w:val="single" w:sz="4" w:space="0" w:color="auto"/>
            </w:tcBorders>
            <w:shd w:val="clear" w:color="auto" w:fill="auto"/>
            <w:noWrap/>
            <w:vAlign w:val="center"/>
          </w:tcPr>
          <w:p w14:paraId="25D026A1" w14:textId="07155ED9" w:rsidR="000B6670" w:rsidRPr="00DB0F13" w:rsidRDefault="000B6670" w:rsidP="009D7258">
            <w:pPr>
              <w:jc w:val="center"/>
              <w:rPr>
                <w:color w:val="000000"/>
                <w:sz w:val="22"/>
              </w:rPr>
            </w:pPr>
            <w:r w:rsidRPr="00DB0F13">
              <w:rPr>
                <w:sz w:val="22"/>
              </w:rPr>
              <w:t>49,300</w:t>
            </w:r>
          </w:p>
        </w:tc>
      </w:tr>
      <w:tr w:rsidR="000B6670" w:rsidRPr="003064B6" w14:paraId="7C92FAFA" w14:textId="77777777" w:rsidTr="000B6670">
        <w:trPr>
          <w:trHeight w:val="288"/>
        </w:trPr>
        <w:tc>
          <w:tcPr>
            <w:tcW w:w="3055" w:type="dxa"/>
            <w:tcBorders>
              <w:top w:val="nil"/>
              <w:left w:val="single" w:sz="4" w:space="0" w:color="auto"/>
              <w:bottom w:val="single" w:sz="4" w:space="0" w:color="auto"/>
              <w:right w:val="single" w:sz="4" w:space="0" w:color="auto"/>
            </w:tcBorders>
            <w:shd w:val="clear" w:color="auto" w:fill="auto"/>
            <w:noWrap/>
            <w:vAlign w:val="center"/>
            <w:hideMark/>
          </w:tcPr>
          <w:p w14:paraId="137B79CC" w14:textId="77777777" w:rsidR="000B6670" w:rsidRPr="00DB0F13" w:rsidRDefault="000B6670" w:rsidP="009D7258">
            <w:pPr>
              <w:jc w:val="center"/>
              <w:rPr>
                <w:color w:val="000000"/>
                <w:sz w:val="22"/>
              </w:rPr>
            </w:pPr>
            <w:r w:rsidRPr="00DB0F13">
              <w:rPr>
                <w:color w:val="000000"/>
                <w:sz w:val="22"/>
              </w:rPr>
              <w:t>2016</w:t>
            </w:r>
          </w:p>
        </w:tc>
        <w:tc>
          <w:tcPr>
            <w:tcW w:w="6210" w:type="dxa"/>
            <w:tcBorders>
              <w:top w:val="nil"/>
              <w:left w:val="nil"/>
              <w:bottom w:val="single" w:sz="4" w:space="0" w:color="auto"/>
              <w:right w:val="single" w:sz="4" w:space="0" w:color="auto"/>
            </w:tcBorders>
            <w:shd w:val="clear" w:color="auto" w:fill="auto"/>
            <w:noWrap/>
            <w:vAlign w:val="center"/>
          </w:tcPr>
          <w:p w14:paraId="02FC3BDD" w14:textId="2B57E52F" w:rsidR="000B6670" w:rsidRPr="00DB0F13" w:rsidRDefault="000B6670" w:rsidP="009D7258">
            <w:pPr>
              <w:jc w:val="center"/>
              <w:rPr>
                <w:color w:val="000000"/>
                <w:sz w:val="22"/>
              </w:rPr>
            </w:pPr>
            <w:r w:rsidRPr="00DB0F13">
              <w:rPr>
                <w:sz w:val="22"/>
              </w:rPr>
              <w:t>53,700</w:t>
            </w:r>
          </w:p>
        </w:tc>
      </w:tr>
      <w:tr w:rsidR="000B6670" w:rsidRPr="003064B6" w14:paraId="1C59FBE1" w14:textId="77777777" w:rsidTr="000B6670">
        <w:trPr>
          <w:trHeight w:val="288"/>
        </w:trPr>
        <w:tc>
          <w:tcPr>
            <w:tcW w:w="3055" w:type="dxa"/>
            <w:tcBorders>
              <w:top w:val="nil"/>
              <w:left w:val="single" w:sz="4" w:space="0" w:color="auto"/>
              <w:bottom w:val="single" w:sz="4" w:space="0" w:color="auto"/>
              <w:right w:val="single" w:sz="4" w:space="0" w:color="auto"/>
            </w:tcBorders>
            <w:shd w:val="clear" w:color="auto" w:fill="auto"/>
            <w:noWrap/>
            <w:vAlign w:val="center"/>
            <w:hideMark/>
          </w:tcPr>
          <w:p w14:paraId="2DB342BB" w14:textId="77777777" w:rsidR="000B6670" w:rsidRPr="00DB0F13" w:rsidRDefault="000B6670" w:rsidP="009D7258">
            <w:pPr>
              <w:jc w:val="center"/>
              <w:rPr>
                <w:color w:val="000000"/>
                <w:sz w:val="22"/>
              </w:rPr>
            </w:pPr>
            <w:r w:rsidRPr="00DB0F13">
              <w:rPr>
                <w:color w:val="000000"/>
                <w:sz w:val="22"/>
              </w:rPr>
              <w:t>2017</w:t>
            </w:r>
          </w:p>
        </w:tc>
        <w:tc>
          <w:tcPr>
            <w:tcW w:w="6210" w:type="dxa"/>
            <w:tcBorders>
              <w:top w:val="nil"/>
              <w:left w:val="nil"/>
              <w:bottom w:val="single" w:sz="4" w:space="0" w:color="auto"/>
              <w:right w:val="single" w:sz="4" w:space="0" w:color="auto"/>
            </w:tcBorders>
            <w:shd w:val="clear" w:color="auto" w:fill="auto"/>
            <w:noWrap/>
            <w:vAlign w:val="center"/>
          </w:tcPr>
          <w:p w14:paraId="5113C7CA" w14:textId="20CF1D67" w:rsidR="000B6670" w:rsidRPr="00DB0F13" w:rsidRDefault="000B6670" w:rsidP="009D7258">
            <w:pPr>
              <w:jc w:val="center"/>
              <w:rPr>
                <w:color w:val="000000"/>
                <w:sz w:val="22"/>
              </w:rPr>
            </w:pPr>
            <w:r w:rsidRPr="00DB0F13">
              <w:rPr>
                <w:sz w:val="22"/>
              </w:rPr>
              <w:t>57,100</w:t>
            </w:r>
          </w:p>
        </w:tc>
      </w:tr>
      <w:tr w:rsidR="000B6670" w:rsidRPr="003064B6" w14:paraId="5A725DFE" w14:textId="77777777" w:rsidTr="000B6670">
        <w:trPr>
          <w:trHeight w:val="288"/>
        </w:trPr>
        <w:tc>
          <w:tcPr>
            <w:tcW w:w="3055" w:type="dxa"/>
            <w:tcBorders>
              <w:top w:val="nil"/>
              <w:left w:val="single" w:sz="4" w:space="0" w:color="auto"/>
              <w:bottom w:val="single" w:sz="4" w:space="0" w:color="auto"/>
              <w:right w:val="single" w:sz="4" w:space="0" w:color="auto"/>
            </w:tcBorders>
            <w:shd w:val="clear" w:color="auto" w:fill="auto"/>
            <w:noWrap/>
            <w:vAlign w:val="center"/>
          </w:tcPr>
          <w:p w14:paraId="6FE472FE" w14:textId="5E706110" w:rsidR="000B6670" w:rsidRPr="00DB0F13" w:rsidRDefault="000B6670" w:rsidP="009D7258">
            <w:pPr>
              <w:jc w:val="center"/>
              <w:rPr>
                <w:color w:val="000000"/>
                <w:sz w:val="22"/>
              </w:rPr>
            </w:pPr>
            <w:r w:rsidRPr="00DB0F13">
              <w:rPr>
                <w:color w:val="000000"/>
                <w:sz w:val="22"/>
              </w:rPr>
              <w:t>2018</w:t>
            </w:r>
          </w:p>
        </w:tc>
        <w:tc>
          <w:tcPr>
            <w:tcW w:w="6210" w:type="dxa"/>
            <w:tcBorders>
              <w:top w:val="nil"/>
              <w:left w:val="nil"/>
              <w:bottom w:val="single" w:sz="4" w:space="0" w:color="auto"/>
              <w:right w:val="single" w:sz="4" w:space="0" w:color="auto"/>
            </w:tcBorders>
            <w:shd w:val="clear" w:color="auto" w:fill="auto"/>
            <w:noWrap/>
            <w:vAlign w:val="center"/>
          </w:tcPr>
          <w:p w14:paraId="2A1C6918" w14:textId="0745365B" w:rsidR="000B6670" w:rsidRPr="00DB0F13" w:rsidRDefault="000B6670" w:rsidP="009D7258">
            <w:pPr>
              <w:jc w:val="center"/>
              <w:rPr>
                <w:color w:val="000000"/>
                <w:sz w:val="22"/>
              </w:rPr>
            </w:pPr>
            <w:r w:rsidRPr="00DB0F13">
              <w:rPr>
                <w:sz w:val="22"/>
              </w:rPr>
              <w:t>47,200</w:t>
            </w:r>
          </w:p>
        </w:tc>
      </w:tr>
      <w:tr w:rsidR="000B6670" w:rsidRPr="003064B6" w14:paraId="4C6A9D60" w14:textId="77777777" w:rsidTr="000B6670">
        <w:trPr>
          <w:trHeight w:val="288"/>
        </w:trPr>
        <w:tc>
          <w:tcPr>
            <w:tcW w:w="3055"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14:paraId="4320BAA8" w14:textId="77777777" w:rsidR="000B6670" w:rsidRPr="00DB0F13" w:rsidRDefault="000B6670" w:rsidP="009D7258">
            <w:pPr>
              <w:jc w:val="center"/>
              <w:rPr>
                <w:b/>
                <w:bCs/>
                <w:color w:val="000000"/>
                <w:sz w:val="22"/>
              </w:rPr>
            </w:pPr>
            <w:r w:rsidRPr="00DB0F13">
              <w:rPr>
                <w:b/>
                <w:bCs/>
                <w:color w:val="000000"/>
                <w:sz w:val="22"/>
              </w:rPr>
              <w:t>Total</w:t>
            </w:r>
          </w:p>
        </w:tc>
        <w:tc>
          <w:tcPr>
            <w:tcW w:w="6210" w:type="dxa"/>
            <w:tcBorders>
              <w:top w:val="nil"/>
              <w:left w:val="nil"/>
              <w:bottom w:val="single" w:sz="4" w:space="0" w:color="auto"/>
              <w:right w:val="single" w:sz="4" w:space="0" w:color="auto"/>
            </w:tcBorders>
            <w:shd w:val="clear" w:color="auto" w:fill="BFBFBF" w:themeFill="background1" w:themeFillShade="BF"/>
            <w:noWrap/>
            <w:vAlign w:val="center"/>
          </w:tcPr>
          <w:p w14:paraId="59A5A9A7" w14:textId="026C974B" w:rsidR="000B6670" w:rsidRPr="00DB0F13" w:rsidRDefault="000B6670" w:rsidP="009D7258">
            <w:pPr>
              <w:jc w:val="center"/>
              <w:rPr>
                <w:b/>
                <w:bCs/>
                <w:color w:val="000000"/>
                <w:sz w:val="22"/>
              </w:rPr>
            </w:pPr>
            <w:r w:rsidRPr="00DB0F13">
              <w:rPr>
                <w:b/>
                <w:sz w:val="22"/>
              </w:rPr>
              <w:t>512,000</w:t>
            </w:r>
          </w:p>
        </w:tc>
      </w:tr>
      <w:tr w:rsidR="000B6670" w:rsidRPr="003064B6" w14:paraId="7FFC2361" w14:textId="77777777" w:rsidTr="000B6670">
        <w:trPr>
          <w:trHeight w:val="288"/>
        </w:trPr>
        <w:tc>
          <w:tcPr>
            <w:tcW w:w="3055"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14:paraId="3124486A" w14:textId="77777777" w:rsidR="000B6670" w:rsidRPr="00DB0F13" w:rsidRDefault="000B6670" w:rsidP="009D7258">
            <w:pPr>
              <w:jc w:val="center"/>
              <w:rPr>
                <w:b/>
                <w:bCs/>
                <w:color w:val="000000"/>
                <w:sz w:val="22"/>
              </w:rPr>
            </w:pPr>
            <w:r w:rsidRPr="00DB0F13">
              <w:rPr>
                <w:b/>
                <w:bCs/>
                <w:color w:val="000000"/>
                <w:sz w:val="22"/>
              </w:rPr>
              <w:t>Average</w:t>
            </w:r>
          </w:p>
        </w:tc>
        <w:tc>
          <w:tcPr>
            <w:tcW w:w="6210" w:type="dxa"/>
            <w:tcBorders>
              <w:top w:val="nil"/>
              <w:left w:val="nil"/>
              <w:bottom w:val="single" w:sz="4" w:space="0" w:color="auto"/>
              <w:right w:val="single" w:sz="4" w:space="0" w:color="auto"/>
            </w:tcBorders>
            <w:shd w:val="clear" w:color="auto" w:fill="BFBFBF" w:themeFill="background1" w:themeFillShade="BF"/>
            <w:noWrap/>
            <w:vAlign w:val="center"/>
          </w:tcPr>
          <w:p w14:paraId="57FACA7F" w14:textId="2F87ED49" w:rsidR="000B6670" w:rsidRPr="00DB0F13" w:rsidRDefault="000B6670" w:rsidP="009D7258">
            <w:pPr>
              <w:jc w:val="center"/>
              <w:rPr>
                <w:b/>
                <w:bCs/>
                <w:color w:val="000000"/>
                <w:sz w:val="22"/>
              </w:rPr>
            </w:pPr>
            <w:r w:rsidRPr="00DB0F13">
              <w:rPr>
                <w:b/>
                <w:sz w:val="22"/>
              </w:rPr>
              <w:t>42,700</w:t>
            </w:r>
          </w:p>
        </w:tc>
      </w:tr>
    </w:tbl>
    <w:p w14:paraId="4C276F64" w14:textId="494BCEAF" w:rsidR="00150537" w:rsidRPr="00B556F7" w:rsidRDefault="00150537" w:rsidP="00150537">
      <w:pPr>
        <w:rPr>
          <w:sz w:val="20"/>
          <w:szCs w:val="20"/>
        </w:rPr>
      </w:pPr>
      <w:bookmarkStart w:id="1" w:name="_Hlk518375056"/>
      <w:r w:rsidRPr="00B556F7">
        <w:rPr>
          <w:sz w:val="20"/>
          <w:szCs w:val="20"/>
          <w:vertAlign w:val="superscript"/>
        </w:rPr>
        <w:t>1</w:t>
      </w:r>
      <w:r w:rsidRPr="00B556F7">
        <w:rPr>
          <w:sz w:val="20"/>
          <w:szCs w:val="20"/>
        </w:rPr>
        <w:t xml:space="preserve"> Amount of storable natural inflow available to the Lake McConaughy EA during the months of October through April.  This is </w:t>
      </w:r>
      <w:r w:rsidR="005E703D">
        <w:rPr>
          <w:sz w:val="20"/>
          <w:szCs w:val="20"/>
        </w:rPr>
        <w:t>10</w:t>
      </w:r>
      <w:r w:rsidRPr="00B556F7">
        <w:rPr>
          <w:sz w:val="20"/>
          <w:szCs w:val="20"/>
        </w:rPr>
        <w:t xml:space="preserve"> percent of the</w:t>
      </w:r>
      <w:r w:rsidR="000B6670" w:rsidRPr="00B556F7">
        <w:rPr>
          <w:sz w:val="20"/>
          <w:szCs w:val="20"/>
        </w:rPr>
        <w:t xml:space="preserve"> total</w:t>
      </w:r>
      <w:r w:rsidRPr="00B556F7">
        <w:rPr>
          <w:sz w:val="20"/>
          <w:szCs w:val="20"/>
        </w:rPr>
        <w:t xml:space="preserve"> Lake McConaughy SNI.</w:t>
      </w:r>
    </w:p>
    <w:p w14:paraId="4ED7688D" w14:textId="682320F5" w:rsidR="00150537" w:rsidRDefault="00150537" w:rsidP="00150537">
      <w:pPr>
        <w:rPr>
          <w:sz w:val="18"/>
          <w:szCs w:val="18"/>
        </w:rPr>
      </w:pPr>
      <w:r>
        <w:rPr>
          <w:sz w:val="18"/>
          <w:szCs w:val="18"/>
        </w:rPr>
        <w:t xml:space="preserve"> </w:t>
      </w:r>
    </w:p>
    <w:bookmarkEnd w:id="1"/>
    <w:p w14:paraId="4EECDAAD" w14:textId="179E0273" w:rsidR="005D0F4D" w:rsidRDefault="004E0658" w:rsidP="00B9798C">
      <w:pPr>
        <w:pStyle w:val="ListParagraph"/>
        <w:numPr>
          <w:ilvl w:val="0"/>
          <w:numId w:val="3"/>
        </w:numPr>
        <w:spacing w:before="240" w:after="240"/>
        <w:ind w:left="360"/>
        <w:rPr>
          <w:b/>
        </w:rPr>
      </w:pPr>
      <w:r>
        <w:rPr>
          <w:b/>
        </w:rPr>
        <w:t>Pathfinder EA Releases</w:t>
      </w:r>
    </w:p>
    <w:p w14:paraId="78C117A4" w14:textId="689B2C6B" w:rsidR="00C46774" w:rsidRDefault="00C46774" w:rsidP="00AB501B">
      <w:pPr>
        <w:pStyle w:val="ListParagraph"/>
        <w:spacing w:before="120" w:after="240"/>
        <w:ind w:left="0"/>
        <w:rPr>
          <w:szCs w:val="24"/>
        </w:rPr>
      </w:pPr>
      <w:r>
        <w:rPr>
          <w:szCs w:val="24"/>
        </w:rPr>
        <w:t>The Pathfinder EA, with a capacity of 33,493 AF, represents Wyoming’s contribution to the initial state water projects for the Program.  Completed as part of the Pathfinder Modification Project, the Pathfinder EA first made releases in 2012.  Water that accrues to the account from runoff during the spring and summer months is released at the end of the irrigation season and routed down the North Platte River</w:t>
      </w:r>
      <w:r w:rsidR="00DF7A5D">
        <w:rPr>
          <w:szCs w:val="24"/>
        </w:rPr>
        <w:t>.  These releases, minus river transit losses, are recaptured in the Lake McConaughy EA.  Releases from the Pathfinder EA in September 2018 totaled 20,469 AF</w:t>
      </w:r>
      <w:r w:rsidR="00DC12E9">
        <w:rPr>
          <w:szCs w:val="24"/>
        </w:rPr>
        <w:t>, of which</w:t>
      </w:r>
      <w:r w:rsidR="00DD3142">
        <w:rPr>
          <w:szCs w:val="24"/>
        </w:rPr>
        <w:t xml:space="preserve"> an estimated</w:t>
      </w:r>
      <w:r w:rsidR="00DC12E9">
        <w:rPr>
          <w:szCs w:val="24"/>
        </w:rPr>
        <w:t xml:space="preserve"> 17,545 AF reached Lake McConaughy</w:t>
      </w:r>
      <w:r w:rsidR="00DF7A5D">
        <w:rPr>
          <w:szCs w:val="24"/>
        </w:rPr>
        <w:t xml:space="preserve">.  </w:t>
      </w:r>
      <w:r w:rsidR="00DF7A5D" w:rsidRPr="00DF7A5D">
        <w:rPr>
          <w:b/>
          <w:szCs w:val="24"/>
        </w:rPr>
        <w:t xml:space="preserve">Table </w:t>
      </w:r>
      <w:r w:rsidR="00E27C8F">
        <w:rPr>
          <w:b/>
          <w:szCs w:val="24"/>
        </w:rPr>
        <w:t>9</w:t>
      </w:r>
      <w:r w:rsidR="00E27C8F">
        <w:rPr>
          <w:szCs w:val="24"/>
        </w:rPr>
        <w:t xml:space="preserve"> </w:t>
      </w:r>
      <w:r w:rsidR="00DF7A5D">
        <w:rPr>
          <w:szCs w:val="24"/>
        </w:rPr>
        <w:t>shows the history of Pathfinder EA releases and deliveries to the Lake McConaughy EA over the period 2012-2018.</w:t>
      </w:r>
    </w:p>
    <w:p w14:paraId="47BBDFA4" w14:textId="77777777" w:rsidR="00DB0F13" w:rsidRDefault="00DB0F13">
      <w:pPr>
        <w:rPr>
          <w:b/>
          <w:sz w:val="22"/>
        </w:rPr>
      </w:pPr>
      <w:r>
        <w:rPr>
          <w:b/>
          <w:sz w:val="22"/>
        </w:rPr>
        <w:br w:type="page"/>
      </w:r>
    </w:p>
    <w:p w14:paraId="63C7ECE9" w14:textId="137D9CB0" w:rsidR="002740CB" w:rsidRPr="00A60630" w:rsidRDefault="002740CB" w:rsidP="002740CB">
      <w:pPr>
        <w:spacing w:line="240" w:lineRule="exact"/>
        <w:rPr>
          <w:b/>
          <w:sz w:val="22"/>
        </w:rPr>
      </w:pPr>
      <w:r w:rsidRPr="00A60630">
        <w:rPr>
          <w:b/>
          <w:sz w:val="22"/>
        </w:rPr>
        <w:lastRenderedPageBreak/>
        <w:t xml:space="preserve">Table </w:t>
      </w:r>
      <w:r w:rsidR="00E27C8F">
        <w:rPr>
          <w:b/>
          <w:sz w:val="22"/>
        </w:rPr>
        <w:t>9</w:t>
      </w:r>
      <w:r w:rsidR="009D4FD7">
        <w:rPr>
          <w:b/>
          <w:sz w:val="22"/>
        </w:rPr>
        <w:t>.</w:t>
      </w:r>
      <w:r w:rsidRPr="00A60630">
        <w:rPr>
          <w:b/>
          <w:sz w:val="22"/>
        </w:rPr>
        <w:t xml:space="preserve"> Pathfinder Environmental Account Yields</w:t>
      </w:r>
    </w:p>
    <w:tbl>
      <w:tblPr>
        <w:tblW w:w="9355" w:type="dxa"/>
        <w:tblInd w:w="-5" w:type="dxa"/>
        <w:tblLayout w:type="fixed"/>
        <w:tblLook w:val="04A0" w:firstRow="1" w:lastRow="0" w:firstColumn="1" w:lastColumn="0" w:noHBand="0" w:noVBand="1"/>
      </w:tblPr>
      <w:tblGrid>
        <w:gridCol w:w="1871"/>
        <w:gridCol w:w="1871"/>
        <w:gridCol w:w="1871"/>
        <w:gridCol w:w="1871"/>
        <w:gridCol w:w="1871"/>
      </w:tblGrid>
      <w:tr w:rsidR="003642C2" w:rsidRPr="00A60630" w14:paraId="602080D6" w14:textId="77777777" w:rsidTr="003642C2">
        <w:trPr>
          <w:trHeight w:val="512"/>
        </w:trPr>
        <w:tc>
          <w:tcPr>
            <w:tcW w:w="1871"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hideMark/>
          </w:tcPr>
          <w:p w14:paraId="07D89611" w14:textId="77777777" w:rsidR="003642C2" w:rsidRPr="00DB0F13" w:rsidRDefault="003642C2" w:rsidP="00B76952">
            <w:pPr>
              <w:jc w:val="center"/>
              <w:rPr>
                <w:b/>
                <w:bCs/>
                <w:color w:val="000000"/>
                <w:sz w:val="22"/>
              </w:rPr>
            </w:pPr>
            <w:r w:rsidRPr="00DB0F13">
              <w:rPr>
                <w:b/>
                <w:bCs/>
                <w:color w:val="000000"/>
                <w:sz w:val="22"/>
              </w:rPr>
              <w:t>Year</w:t>
            </w:r>
          </w:p>
        </w:tc>
        <w:tc>
          <w:tcPr>
            <w:tcW w:w="1871" w:type="dxa"/>
            <w:tcBorders>
              <w:top w:val="single" w:sz="4" w:space="0" w:color="auto"/>
              <w:left w:val="nil"/>
              <w:bottom w:val="single" w:sz="4" w:space="0" w:color="auto"/>
              <w:right w:val="single" w:sz="4" w:space="0" w:color="auto"/>
            </w:tcBorders>
            <w:shd w:val="clear" w:color="auto" w:fill="C2D69B" w:themeFill="accent3" w:themeFillTint="99"/>
            <w:vAlign w:val="bottom"/>
            <w:hideMark/>
          </w:tcPr>
          <w:p w14:paraId="1B01C17A" w14:textId="77777777" w:rsidR="003642C2" w:rsidRPr="00DB0F13" w:rsidRDefault="003642C2" w:rsidP="00B76952">
            <w:pPr>
              <w:jc w:val="center"/>
              <w:rPr>
                <w:b/>
                <w:bCs/>
                <w:color w:val="000000"/>
                <w:sz w:val="22"/>
              </w:rPr>
            </w:pPr>
            <w:r w:rsidRPr="00DB0F13">
              <w:rPr>
                <w:b/>
                <w:bCs/>
                <w:color w:val="000000"/>
                <w:sz w:val="22"/>
              </w:rPr>
              <w:t>Releases Measured at Pathfinder Dam</w:t>
            </w:r>
          </w:p>
          <w:p w14:paraId="2D681ABF" w14:textId="77777777" w:rsidR="003642C2" w:rsidRPr="00DB0F13" w:rsidRDefault="003642C2" w:rsidP="00B76952">
            <w:pPr>
              <w:jc w:val="center"/>
              <w:rPr>
                <w:b/>
                <w:bCs/>
                <w:color w:val="000000"/>
                <w:sz w:val="22"/>
              </w:rPr>
            </w:pPr>
            <w:r w:rsidRPr="00DB0F13">
              <w:rPr>
                <w:b/>
                <w:bCs/>
                <w:color w:val="000000"/>
                <w:sz w:val="22"/>
              </w:rPr>
              <w:t>(AF)</w:t>
            </w:r>
          </w:p>
        </w:tc>
        <w:tc>
          <w:tcPr>
            <w:tcW w:w="1871" w:type="dxa"/>
            <w:tcBorders>
              <w:top w:val="single" w:sz="4" w:space="0" w:color="auto"/>
              <w:left w:val="nil"/>
              <w:bottom w:val="single" w:sz="4" w:space="0" w:color="auto"/>
              <w:right w:val="single" w:sz="4" w:space="0" w:color="auto"/>
            </w:tcBorders>
            <w:shd w:val="clear" w:color="auto" w:fill="C2D69B" w:themeFill="accent3" w:themeFillTint="99"/>
            <w:vAlign w:val="bottom"/>
            <w:hideMark/>
          </w:tcPr>
          <w:p w14:paraId="0DD6D86C" w14:textId="77777777" w:rsidR="003642C2" w:rsidRPr="00DB0F13" w:rsidRDefault="003642C2" w:rsidP="00B76952">
            <w:pPr>
              <w:jc w:val="center"/>
              <w:rPr>
                <w:b/>
                <w:bCs/>
                <w:color w:val="000000"/>
                <w:sz w:val="22"/>
              </w:rPr>
            </w:pPr>
            <w:r w:rsidRPr="00DB0F13">
              <w:rPr>
                <w:b/>
                <w:bCs/>
                <w:color w:val="000000"/>
                <w:sz w:val="22"/>
              </w:rPr>
              <w:t>Deliveries to Lake McConaughy</w:t>
            </w:r>
            <w:r w:rsidRPr="00DB0F13">
              <w:rPr>
                <w:b/>
                <w:bCs/>
                <w:color w:val="000000"/>
                <w:sz w:val="22"/>
                <w:vertAlign w:val="superscript"/>
              </w:rPr>
              <w:t>1</w:t>
            </w:r>
            <w:r w:rsidRPr="00DB0F13">
              <w:rPr>
                <w:b/>
                <w:bCs/>
                <w:color w:val="000000"/>
                <w:sz w:val="22"/>
              </w:rPr>
              <w:t xml:space="preserve"> </w:t>
            </w:r>
            <w:r w:rsidRPr="00DB0F13">
              <w:rPr>
                <w:b/>
                <w:bCs/>
                <w:color w:val="000000"/>
                <w:sz w:val="22"/>
              </w:rPr>
              <w:br/>
              <w:t>(AF)</w:t>
            </w:r>
          </w:p>
        </w:tc>
        <w:tc>
          <w:tcPr>
            <w:tcW w:w="1871" w:type="dxa"/>
            <w:tcBorders>
              <w:top w:val="single" w:sz="4" w:space="0" w:color="auto"/>
              <w:left w:val="nil"/>
              <w:bottom w:val="single" w:sz="4" w:space="0" w:color="auto"/>
              <w:right w:val="single" w:sz="4" w:space="0" w:color="auto"/>
            </w:tcBorders>
            <w:shd w:val="clear" w:color="auto" w:fill="C2D69B" w:themeFill="accent3" w:themeFillTint="99"/>
            <w:vAlign w:val="bottom"/>
          </w:tcPr>
          <w:p w14:paraId="51A71FFA" w14:textId="77777777" w:rsidR="003642C2" w:rsidRPr="00DB0F13" w:rsidRDefault="003642C2" w:rsidP="00B76952">
            <w:pPr>
              <w:jc w:val="center"/>
              <w:rPr>
                <w:b/>
                <w:bCs/>
                <w:color w:val="000000"/>
                <w:sz w:val="22"/>
              </w:rPr>
            </w:pPr>
            <w:r w:rsidRPr="00DB0F13">
              <w:rPr>
                <w:b/>
                <w:bCs/>
                <w:color w:val="000000"/>
                <w:sz w:val="22"/>
              </w:rPr>
              <w:t>Transit Losses</w:t>
            </w:r>
          </w:p>
          <w:p w14:paraId="3DF9078A" w14:textId="6A9E4719" w:rsidR="003642C2" w:rsidRPr="00DB0F13" w:rsidRDefault="003642C2" w:rsidP="00B76952">
            <w:pPr>
              <w:jc w:val="center"/>
              <w:rPr>
                <w:b/>
                <w:bCs/>
                <w:color w:val="000000"/>
                <w:sz w:val="22"/>
              </w:rPr>
            </w:pPr>
            <w:r w:rsidRPr="00DB0F13">
              <w:rPr>
                <w:b/>
                <w:bCs/>
                <w:color w:val="000000"/>
                <w:sz w:val="22"/>
              </w:rPr>
              <w:t>(AF)</w:t>
            </w:r>
          </w:p>
        </w:tc>
        <w:tc>
          <w:tcPr>
            <w:tcW w:w="1871"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tcPr>
          <w:p w14:paraId="06396235" w14:textId="7A377E66" w:rsidR="003642C2" w:rsidRPr="00DB0F13" w:rsidRDefault="003642C2" w:rsidP="00B76952">
            <w:pPr>
              <w:jc w:val="center"/>
              <w:rPr>
                <w:b/>
                <w:bCs/>
                <w:color w:val="000000"/>
                <w:sz w:val="22"/>
              </w:rPr>
            </w:pPr>
            <w:r w:rsidRPr="00DB0F13">
              <w:rPr>
                <w:b/>
                <w:bCs/>
                <w:color w:val="000000"/>
                <w:sz w:val="22"/>
              </w:rPr>
              <w:t xml:space="preserve">Transit Losses </w:t>
            </w:r>
          </w:p>
          <w:p w14:paraId="62793CDB" w14:textId="77777777" w:rsidR="003642C2" w:rsidRPr="00DB0F13" w:rsidRDefault="003642C2" w:rsidP="00B76952">
            <w:pPr>
              <w:jc w:val="center"/>
              <w:rPr>
                <w:b/>
                <w:bCs/>
                <w:color w:val="000000"/>
                <w:sz w:val="22"/>
              </w:rPr>
            </w:pPr>
            <w:r w:rsidRPr="00DB0F13">
              <w:rPr>
                <w:b/>
                <w:bCs/>
                <w:color w:val="000000"/>
                <w:sz w:val="22"/>
              </w:rPr>
              <w:t>(%)</w:t>
            </w:r>
          </w:p>
        </w:tc>
      </w:tr>
      <w:tr w:rsidR="00DB0F13" w:rsidRPr="00A60630" w14:paraId="62C254A5" w14:textId="77777777" w:rsidTr="00DB0F13">
        <w:trPr>
          <w:trHeight w:val="288"/>
        </w:trPr>
        <w:tc>
          <w:tcPr>
            <w:tcW w:w="1871" w:type="dxa"/>
            <w:tcBorders>
              <w:top w:val="nil"/>
              <w:left w:val="single" w:sz="4" w:space="0" w:color="auto"/>
              <w:bottom w:val="single" w:sz="4" w:space="0" w:color="auto"/>
              <w:right w:val="single" w:sz="4" w:space="0" w:color="auto"/>
            </w:tcBorders>
            <w:shd w:val="clear" w:color="auto" w:fill="auto"/>
            <w:noWrap/>
            <w:vAlign w:val="center"/>
            <w:hideMark/>
          </w:tcPr>
          <w:p w14:paraId="59FB856E" w14:textId="77777777" w:rsidR="00DB0F13" w:rsidRPr="00DB0F13" w:rsidRDefault="00DB0F13" w:rsidP="00DB0F13">
            <w:pPr>
              <w:jc w:val="center"/>
              <w:rPr>
                <w:color w:val="000000"/>
                <w:sz w:val="22"/>
              </w:rPr>
            </w:pPr>
            <w:r w:rsidRPr="00DB0F13">
              <w:rPr>
                <w:color w:val="000000"/>
                <w:sz w:val="22"/>
              </w:rPr>
              <w:t>2012</w:t>
            </w:r>
          </w:p>
        </w:tc>
        <w:tc>
          <w:tcPr>
            <w:tcW w:w="1871" w:type="dxa"/>
            <w:tcBorders>
              <w:top w:val="nil"/>
              <w:left w:val="nil"/>
              <w:bottom w:val="single" w:sz="4" w:space="0" w:color="auto"/>
              <w:right w:val="single" w:sz="4" w:space="0" w:color="auto"/>
            </w:tcBorders>
            <w:shd w:val="clear" w:color="auto" w:fill="auto"/>
            <w:noWrap/>
            <w:vAlign w:val="center"/>
            <w:hideMark/>
          </w:tcPr>
          <w:p w14:paraId="213AB82F" w14:textId="50DB7F80" w:rsidR="00DB0F13" w:rsidRPr="00DB0F13" w:rsidRDefault="00DB0F13" w:rsidP="00DB0F13">
            <w:pPr>
              <w:jc w:val="center"/>
              <w:rPr>
                <w:color w:val="000000"/>
                <w:sz w:val="22"/>
              </w:rPr>
            </w:pPr>
            <w:r w:rsidRPr="00DB0F13">
              <w:rPr>
                <w:sz w:val="22"/>
              </w:rPr>
              <w:t>21,600</w:t>
            </w:r>
          </w:p>
        </w:tc>
        <w:tc>
          <w:tcPr>
            <w:tcW w:w="1871" w:type="dxa"/>
            <w:tcBorders>
              <w:top w:val="nil"/>
              <w:left w:val="nil"/>
              <w:bottom w:val="single" w:sz="4" w:space="0" w:color="auto"/>
              <w:right w:val="single" w:sz="4" w:space="0" w:color="auto"/>
            </w:tcBorders>
            <w:shd w:val="clear" w:color="auto" w:fill="auto"/>
            <w:noWrap/>
            <w:vAlign w:val="center"/>
            <w:hideMark/>
          </w:tcPr>
          <w:p w14:paraId="64B8BA24" w14:textId="04D4EE71" w:rsidR="00DB0F13" w:rsidRPr="00DB0F13" w:rsidRDefault="00DB0F13" w:rsidP="00DB0F13">
            <w:pPr>
              <w:jc w:val="center"/>
              <w:rPr>
                <w:color w:val="000000"/>
                <w:sz w:val="22"/>
              </w:rPr>
            </w:pPr>
            <w:r w:rsidRPr="00DB0F13">
              <w:rPr>
                <w:sz w:val="22"/>
              </w:rPr>
              <w:t>19,700</w:t>
            </w:r>
          </w:p>
        </w:tc>
        <w:tc>
          <w:tcPr>
            <w:tcW w:w="1871" w:type="dxa"/>
            <w:tcBorders>
              <w:top w:val="single" w:sz="4" w:space="0" w:color="auto"/>
              <w:left w:val="nil"/>
              <w:bottom w:val="single" w:sz="4" w:space="0" w:color="auto"/>
              <w:right w:val="single" w:sz="4" w:space="0" w:color="auto"/>
            </w:tcBorders>
            <w:vAlign w:val="center"/>
          </w:tcPr>
          <w:p w14:paraId="2C8EA6F5" w14:textId="77CC081D" w:rsidR="00DB0F13" w:rsidRPr="00DB0F13" w:rsidRDefault="00DB0F13" w:rsidP="00DB0F13">
            <w:pPr>
              <w:jc w:val="center"/>
              <w:rPr>
                <w:color w:val="000000"/>
                <w:sz w:val="22"/>
              </w:rPr>
            </w:pPr>
            <w:r w:rsidRPr="00DB0F13">
              <w:rPr>
                <w:sz w:val="22"/>
              </w:rPr>
              <w:t>1,900</w:t>
            </w:r>
          </w:p>
        </w:tc>
        <w:tc>
          <w:tcPr>
            <w:tcW w:w="1871" w:type="dxa"/>
            <w:tcBorders>
              <w:top w:val="nil"/>
              <w:left w:val="single" w:sz="4" w:space="0" w:color="auto"/>
              <w:bottom w:val="single" w:sz="4" w:space="0" w:color="auto"/>
              <w:right w:val="single" w:sz="4" w:space="0" w:color="auto"/>
            </w:tcBorders>
            <w:vAlign w:val="center"/>
          </w:tcPr>
          <w:p w14:paraId="1DC9D378" w14:textId="2CABE3E4" w:rsidR="00DB0F13" w:rsidRPr="00DB0F13" w:rsidRDefault="00DB0F13" w:rsidP="00DB0F13">
            <w:pPr>
              <w:jc w:val="center"/>
              <w:rPr>
                <w:color w:val="000000"/>
                <w:sz w:val="22"/>
              </w:rPr>
            </w:pPr>
            <w:r w:rsidRPr="00DB0F13">
              <w:rPr>
                <w:sz w:val="22"/>
              </w:rPr>
              <w:t>9%</w:t>
            </w:r>
          </w:p>
        </w:tc>
      </w:tr>
      <w:tr w:rsidR="00DB0F13" w:rsidRPr="00A60630" w14:paraId="351FE473" w14:textId="77777777" w:rsidTr="00DB0F13">
        <w:trPr>
          <w:trHeight w:val="288"/>
        </w:trPr>
        <w:tc>
          <w:tcPr>
            <w:tcW w:w="1871" w:type="dxa"/>
            <w:tcBorders>
              <w:top w:val="nil"/>
              <w:left w:val="single" w:sz="4" w:space="0" w:color="auto"/>
              <w:bottom w:val="single" w:sz="4" w:space="0" w:color="auto"/>
              <w:right w:val="single" w:sz="4" w:space="0" w:color="auto"/>
            </w:tcBorders>
            <w:shd w:val="clear" w:color="auto" w:fill="auto"/>
            <w:noWrap/>
            <w:vAlign w:val="center"/>
            <w:hideMark/>
          </w:tcPr>
          <w:p w14:paraId="543624AB" w14:textId="77777777" w:rsidR="00DB0F13" w:rsidRPr="00DB0F13" w:rsidRDefault="00DB0F13" w:rsidP="00DB0F13">
            <w:pPr>
              <w:jc w:val="center"/>
              <w:rPr>
                <w:color w:val="000000"/>
                <w:sz w:val="22"/>
              </w:rPr>
            </w:pPr>
            <w:r w:rsidRPr="00DB0F13">
              <w:rPr>
                <w:color w:val="000000"/>
                <w:sz w:val="22"/>
              </w:rPr>
              <w:t>2013</w:t>
            </w:r>
          </w:p>
        </w:tc>
        <w:tc>
          <w:tcPr>
            <w:tcW w:w="1871" w:type="dxa"/>
            <w:tcBorders>
              <w:top w:val="nil"/>
              <w:left w:val="nil"/>
              <w:bottom w:val="single" w:sz="4" w:space="0" w:color="auto"/>
              <w:right w:val="single" w:sz="4" w:space="0" w:color="auto"/>
            </w:tcBorders>
            <w:shd w:val="clear" w:color="auto" w:fill="auto"/>
            <w:noWrap/>
            <w:vAlign w:val="center"/>
            <w:hideMark/>
          </w:tcPr>
          <w:p w14:paraId="3C298F16" w14:textId="4AE0D1FE" w:rsidR="00DB0F13" w:rsidRPr="00DB0F13" w:rsidRDefault="00DB0F13" w:rsidP="00DB0F13">
            <w:pPr>
              <w:jc w:val="center"/>
              <w:rPr>
                <w:color w:val="000000"/>
                <w:sz w:val="22"/>
              </w:rPr>
            </w:pPr>
            <w:r w:rsidRPr="00DB0F13">
              <w:rPr>
                <w:sz w:val="22"/>
              </w:rPr>
              <w:t>14,400</w:t>
            </w:r>
          </w:p>
        </w:tc>
        <w:tc>
          <w:tcPr>
            <w:tcW w:w="1871" w:type="dxa"/>
            <w:tcBorders>
              <w:top w:val="nil"/>
              <w:left w:val="nil"/>
              <w:bottom w:val="single" w:sz="4" w:space="0" w:color="auto"/>
              <w:right w:val="single" w:sz="4" w:space="0" w:color="auto"/>
            </w:tcBorders>
            <w:shd w:val="clear" w:color="auto" w:fill="auto"/>
            <w:noWrap/>
            <w:vAlign w:val="center"/>
            <w:hideMark/>
          </w:tcPr>
          <w:p w14:paraId="2163061A" w14:textId="40B292F9" w:rsidR="00DB0F13" w:rsidRPr="00DB0F13" w:rsidRDefault="00DB0F13" w:rsidP="00DB0F13">
            <w:pPr>
              <w:jc w:val="center"/>
              <w:rPr>
                <w:color w:val="000000"/>
                <w:sz w:val="22"/>
              </w:rPr>
            </w:pPr>
            <w:r w:rsidRPr="00DB0F13">
              <w:rPr>
                <w:sz w:val="22"/>
              </w:rPr>
              <w:t>13,100</w:t>
            </w:r>
          </w:p>
        </w:tc>
        <w:tc>
          <w:tcPr>
            <w:tcW w:w="1871" w:type="dxa"/>
            <w:tcBorders>
              <w:top w:val="single" w:sz="4" w:space="0" w:color="auto"/>
              <w:left w:val="nil"/>
              <w:bottom w:val="single" w:sz="4" w:space="0" w:color="auto"/>
              <w:right w:val="single" w:sz="4" w:space="0" w:color="auto"/>
            </w:tcBorders>
            <w:vAlign w:val="center"/>
          </w:tcPr>
          <w:p w14:paraId="7C56AA92" w14:textId="1DBD2E3B" w:rsidR="00DB0F13" w:rsidRPr="00DB0F13" w:rsidRDefault="00DB0F13" w:rsidP="00DB0F13">
            <w:pPr>
              <w:jc w:val="center"/>
              <w:rPr>
                <w:color w:val="000000"/>
                <w:sz w:val="22"/>
              </w:rPr>
            </w:pPr>
            <w:r w:rsidRPr="00DB0F13">
              <w:rPr>
                <w:sz w:val="22"/>
              </w:rPr>
              <w:t>1,300</w:t>
            </w:r>
          </w:p>
        </w:tc>
        <w:tc>
          <w:tcPr>
            <w:tcW w:w="1871" w:type="dxa"/>
            <w:tcBorders>
              <w:top w:val="nil"/>
              <w:left w:val="single" w:sz="4" w:space="0" w:color="auto"/>
              <w:bottom w:val="single" w:sz="4" w:space="0" w:color="auto"/>
              <w:right w:val="single" w:sz="4" w:space="0" w:color="auto"/>
            </w:tcBorders>
            <w:vAlign w:val="center"/>
          </w:tcPr>
          <w:p w14:paraId="6EEDD561" w14:textId="7B6B3766" w:rsidR="00DB0F13" w:rsidRPr="00DB0F13" w:rsidRDefault="00DB0F13" w:rsidP="00DB0F13">
            <w:pPr>
              <w:jc w:val="center"/>
              <w:rPr>
                <w:color w:val="000000"/>
                <w:sz w:val="22"/>
              </w:rPr>
            </w:pPr>
            <w:r w:rsidRPr="00DB0F13">
              <w:rPr>
                <w:sz w:val="22"/>
              </w:rPr>
              <w:t>9%</w:t>
            </w:r>
          </w:p>
        </w:tc>
      </w:tr>
      <w:tr w:rsidR="00DB0F13" w:rsidRPr="00A60630" w14:paraId="6C8CEA78" w14:textId="77777777" w:rsidTr="00DB0F13">
        <w:trPr>
          <w:trHeight w:val="288"/>
        </w:trPr>
        <w:tc>
          <w:tcPr>
            <w:tcW w:w="1871" w:type="dxa"/>
            <w:tcBorders>
              <w:top w:val="nil"/>
              <w:left w:val="single" w:sz="4" w:space="0" w:color="auto"/>
              <w:bottom w:val="single" w:sz="4" w:space="0" w:color="auto"/>
              <w:right w:val="single" w:sz="4" w:space="0" w:color="auto"/>
            </w:tcBorders>
            <w:shd w:val="clear" w:color="auto" w:fill="auto"/>
            <w:noWrap/>
            <w:vAlign w:val="center"/>
            <w:hideMark/>
          </w:tcPr>
          <w:p w14:paraId="238BCD25" w14:textId="77777777" w:rsidR="00DB0F13" w:rsidRPr="00DB0F13" w:rsidRDefault="00DB0F13" w:rsidP="00DB0F13">
            <w:pPr>
              <w:jc w:val="center"/>
              <w:rPr>
                <w:color w:val="000000"/>
                <w:sz w:val="22"/>
              </w:rPr>
            </w:pPr>
            <w:r w:rsidRPr="00DB0F13">
              <w:rPr>
                <w:color w:val="000000"/>
                <w:sz w:val="22"/>
              </w:rPr>
              <w:t>2014</w:t>
            </w:r>
          </w:p>
        </w:tc>
        <w:tc>
          <w:tcPr>
            <w:tcW w:w="1871" w:type="dxa"/>
            <w:tcBorders>
              <w:top w:val="nil"/>
              <w:left w:val="nil"/>
              <w:bottom w:val="single" w:sz="4" w:space="0" w:color="auto"/>
              <w:right w:val="single" w:sz="4" w:space="0" w:color="auto"/>
            </w:tcBorders>
            <w:shd w:val="clear" w:color="auto" w:fill="auto"/>
            <w:noWrap/>
            <w:vAlign w:val="center"/>
            <w:hideMark/>
          </w:tcPr>
          <w:p w14:paraId="4549D537" w14:textId="3E726FEE" w:rsidR="00DB0F13" w:rsidRPr="00DB0F13" w:rsidRDefault="00DB0F13" w:rsidP="00DB0F13">
            <w:pPr>
              <w:jc w:val="center"/>
              <w:rPr>
                <w:color w:val="000000"/>
                <w:sz w:val="22"/>
              </w:rPr>
            </w:pPr>
            <w:r w:rsidRPr="00DB0F13">
              <w:rPr>
                <w:sz w:val="22"/>
              </w:rPr>
              <w:t>32,600</w:t>
            </w:r>
          </w:p>
        </w:tc>
        <w:tc>
          <w:tcPr>
            <w:tcW w:w="1871" w:type="dxa"/>
            <w:tcBorders>
              <w:top w:val="nil"/>
              <w:left w:val="nil"/>
              <w:bottom w:val="single" w:sz="4" w:space="0" w:color="auto"/>
              <w:right w:val="single" w:sz="4" w:space="0" w:color="auto"/>
            </w:tcBorders>
            <w:shd w:val="clear" w:color="auto" w:fill="auto"/>
            <w:noWrap/>
            <w:vAlign w:val="center"/>
            <w:hideMark/>
          </w:tcPr>
          <w:p w14:paraId="3C85717A" w14:textId="05FC810D" w:rsidR="00DB0F13" w:rsidRPr="00DB0F13" w:rsidRDefault="00DB0F13" w:rsidP="00DB0F13">
            <w:pPr>
              <w:jc w:val="center"/>
              <w:rPr>
                <w:color w:val="000000"/>
                <w:sz w:val="22"/>
              </w:rPr>
            </w:pPr>
            <w:r w:rsidRPr="00DB0F13">
              <w:rPr>
                <w:sz w:val="22"/>
              </w:rPr>
              <w:t>28,800</w:t>
            </w:r>
          </w:p>
        </w:tc>
        <w:tc>
          <w:tcPr>
            <w:tcW w:w="1871" w:type="dxa"/>
            <w:tcBorders>
              <w:top w:val="single" w:sz="4" w:space="0" w:color="auto"/>
              <w:left w:val="nil"/>
              <w:bottom w:val="single" w:sz="4" w:space="0" w:color="auto"/>
              <w:right w:val="single" w:sz="4" w:space="0" w:color="auto"/>
            </w:tcBorders>
            <w:vAlign w:val="center"/>
          </w:tcPr>
          <w:p w14:paraId="157BD5DC" w14:textId="42EF8512" w:rsidR="00DB0F13" w:rsidRPr="00DB0F13" w:rsidRDefault="00DB0F13" w:rsidP="00DB0F13">
            <w:pPr>
              <w:jc w:val="center"/>
              <w:rPr>
                <w:color w:val="000000"/>
                <w:sz w:val="22"/>
              </w:rPr>
            </w:pPr>
            <w:r w:rsidRPr="00DB0F13">
              <w:rPr>
                <w:sz w:val="22"/>
              </w:rPr>
              <w:t>3,800</w:t>
            </w:r>
          </w:p>
        </w:tc>
        <w:tc>
          <w:tcPr>
            <w:tcW w:w="1871" w:type="dxa"/>
            <w:tcBorders>
              <w:top w:val="nil"/>
              <w:left w:val="single" w:sz="4" w:space="0" w:color="auto"/>
              <w:bottom w:val="single" w:sz="4" w:space="0" w:color="auto"/>
              <w:right w:val="single" w:sz="4" w:space="0" w:color="auto"/>
            </w:tcBorders>
            <w:vAlign w:val="center"/>
          </w:tcPr>
          <w:p w14:paraId="665F2EA2" w14:textId="5EAC8E2F" w:rsidR="00DB0F13" w:rsidRPr="00DB0F13" w:rsidRDefault="00DB0F13" w:rsidP="00DB0F13">
            <w:pPr>
              <w:jc w:val="center"/>
              <w:rPr>
                <w:color w:val="000000"/>
                <w:sz w:val="22"/>
              </w:rPr>
            </w:pPr>
            <w:r w:rsidRPr="00DB0F13">
              <w:rPr>
                <w:sz w:val="22"/>
              </w:rPr>
              <w:t>12%</w:t>
            </w:r>
          </w:p>
        </w:tc>
      </w:tr>
      <w:tr w:rsidR="00DB0F13" w:rsidRPr="00A60630" w14:paraId="450ABC77" w14:textId="77777777" w:rsidTr="00DB0F13">
        <w:trPr>
          <w:trHeight w:val="288"/>
        </w:trPr>
        <w:tc>
          <w:tcPr>
            <w:tcW w:w="1871" w:type="dxa"/>
            <w:tcBorders>
              <w:top w:val="nil"/>
              <w:left w:val="single" w:sz="4" w:space="0" w:color="auto"/>
              <w:bottom w:val="single" w:sz="4" w:space="0" w:color="auto"/>
              <w:right w:val="single" w:sz="4" w:space="0" w:color="auto"/>
            </w:tcBorders>
            <w:shd w:val="clear" w:color="auto" w:fill="auto"/>
            <w:noWrap/>
            <w:vAlign w:val="center"/>
            <w:hideMark/>
          </w:tcPr>
          <w:p w14:paraId="750BF3D4" w14:textId="77777777" w:rsidR="00DB0F13" w:rsidRPr="00DB0F13" w:rsidRDefault="00DB0F13" w:rsidP="00DB0F13">
            <w:pPr>
              <w:jc w:val="center"/>
              <w:rPr>
                <w:color w:val="000000"/>
                <w:sz w:val="22"/>
              </w:rPr>
            </w:pPr>
            <w:r w:rsidRPr="00DB0F13">
              <w:rPr>
                <w:color w:val="000000"/>
                <w:sz w:val="22"/>
              </w:rPr>
              <w:t>2015</w:t>
            </w:r>
          </w:p>
        </w:tc>
        <w:tc>
          <w:tcPr>
            <w:tcW w:w="1871" w:type="dxa"/>
            <w:tcBorders>
              <w:top w:val="nil"/>
              <w:left w:val="nil"/>
              <w:bottom w:val="single" w:sz="4" w:space="0" w:color="auto"/>
              <w:right w:val="single" w:sz="4" w:space="0" w:color="auto"/>
            </w:tcBorders>
            <w:shd w:val="clear" w:color="auto" w:fill="auto"/>
            <w:noWrap/>
            <w:vAlign w:val="center"/>
            <w:hideMark/>
          </w:tcPr>
          <w:p w14:paraId="6695FE21" w14:textId="1142B84E" w:rsidR="00DB0F13" w:rsidRPr="00DB0F13" w:rsidRDefault="00DB0F13" w:rsidP="00DB0F13">
            <w:pPr>
              <w:jc w:val="center"/>
              <w:rPr>
                <w:color w:val="000000"/>
                <w:sz w:val="22"/>
              </w:rPr>
            </w:pPr>
            <w:r w:rsidRPr="00DB0F13">
              <w:rPr>
                <w:sz w:val="22"/>
              </w:rPr>
              <w:t>30,300</w:t>
            </w:r>
          </w:p>
        </w:tc>
        <w:tc>
          <w:tcPr>
            <w:tcW w:w="1871" w:type="dxa"/>
            <w:tcBorders>
              <w:top w:val="nil"/>
              <w:left w:val="nil"/>
              <w:bottom w:val="single" w:sz="4" w:space="0" w:color="auto"/>
              <w:right w:val="single" w:sz="4" w:space="0" w:color="auto"/>
            </w:tcBorders>
            <w:shd w:val="clear" w:color="auto" w:fill="auto"/>
            <w:noWrap/>
            <w:vAlign w:val="center"/>
            <w:hideMark/>
          </w:tcPr>
          <w:p w14:paraId="23432A68" w14:textId="28EEAC7F" w:rsidR="00DB0F13" w:rsidRPr="00DB0F13" w:rsidRDefault="00DB0F13" w:rsidP="00DB0F13">
            <w:pPr>
              <w:jc w:val="center"/>
              <w:rPr>
                <w:color w:val="000000"/>
                <w:sz w:val="22"/>
              </w:rPr>
            </w:pPr>
            <w:r w:rsidRPr="00DB0F13">
              <w:rPr>
                <w:sz w:val="22"/>
              </w:rPr>
              <w:t>29,100</w:t>
            </w:r>
          </w:p>
        </w:tc>
        <w:tc>
          <w:tcPr>
            <w:tcW w:w="1871" w:type="dxa"/>
            <w:tcBorders>
              <w:top w:val="single" w:sz="4" w:space="0" w:color="auto"/>
              <w:left w:val="nil"/>
              <w:bottom w:val="single" w:sz="4" w:space="0" w:color="auto"/>
              <w:right w:val="single" w:sz="4" w:space="0" w:color="auto"/>
            </w:tcBorders>
            <w:vAlign w:val="center"/>
          </w:tcPr>
          <w:p w14:paraId="796501A5" w14:textId="675C3F67" w:rsidR="00DB0F13" w:rsidRPr="00DB0F13" w:rsidRDefault="00DB0F13" w:rsidP="00DB0F13">
            <w:pPr>
              <w:jc w:val="center"/>
              <w:rPr>
                <w:color w:val="000000"/>
                <w:sz w:val="22"/>
              </w:rPr>
            </w:pPr>
            <w:r w:rsidRPr="00DB0F13">
              <w:rPr>
                <w:sz w:val="22"/>
              </w:rPr>
              <w:t>1,200</w:t>
            </w:r>
          </w:p>
        </w:tc>
        <w:tc>
          <w:tcPr>
            <w:tcW w:w="1871" w:type="dxa"/>
            <w:tcBorders>
              <w:top w:val="nil"/>
              <w:left w:val="single" w:sz="4" w:space="0" w:color="auto"/>
              <w:bottom w:val="single" w:sz="4" w:space="0" w:color="auto"/>
              <w:right w:val="single" w:sz="4" w:space="0" w:color="auto"/>
            </w:tcBorders>
            <w:vAlign w:val="center"/>
          </w:tcPr>
          <w:p w14:paraId="62BE9944" w14:textId="6E0924C5" w:rsidR="00DB0F13" w:rsidRPr="00DB0F13" w:rsidRDefault="00DB0F13" w:rsidP="00DB0F13">
            <w:pPr>
              <w:jc w:val="center"/>
              <w:rPr>
                <w:color w:val="000000"/>
                <w:sz w:val="22"/>
              </w:rPr>
            </w:pPr>
            <w:r w:rsidRPr="00DB0F13">
              <w:rPr>
                <w:sz w:val="22"/>
              </w:rPr>
              <w:t>4%</w:t>
            </w:r>
          </w:p>
        </w:tc>
      </w:tr>
      <w:tr w:rsidR="00DB0F13" w:rsidRPr="00A60630" w14:paraId="7B069EA5" w14:textId="77777777" w:rsidTr="00DB0F13">
        <w:trPr>
          <w:trHeight w:val="288"/>
        </w:trPr>
        <w:tc>
          <w:tcPr>
            <w:tcW w:w="1871" w:type="dxa"/>
            <w:tcBorders>
              <w:top w:val="nil"/>
              <w:left w:val="single" w:sz="4" w:space="0" w:color="auto"/>
              <w:bottom w:val="single" w:sz="4" w:space="0" w:color="auto"/>
              <w:right w:val="single" w:sz="4" w:space="0" w:color="auto"/>
            </w:tcBorders>
            <w:shd w:val="clear" w:color="auto" w:fill="auto"/>
            <w:noWrap/>
            <w:vAlign w:val="center"/>
            <w:hideMark/>
          </w:tcPr>
          <w:p w14:paraId="47ECF73F" w14:textId="77777777" w:rsidR="00DB0F13" w:rsidRPr="00DB0F13" w:rsidRDefault="00DB0F13" w:rsidP="00DB0F13">
            <w:pPr>
              <w:jc w:val="center"/>
              <w:rPr>
                <w:color w:val="000000"/>
                <w:sz w:val="22"/>
              </w:rPr>
            </w:pPr>
            <w:r w:rsidRPr="00DB0F13">
              <w:rPr>
                <w:color w:val="000000"/>
                <w:sz w:val="22"/>
              </w:rPr>
              <w:t>2016</w:t>
            </w:r>
          </w:p>
        </w:tc>
        <w:tc>
          <w:tcPr>
            <w:tcW w:w="1871" w:type="dxa"/>
            <w:tcBorders>
              <w:top w:val="nil"/>
              <w:left w:val="nil"/>
              <w:bottom w:val="single" w:sz="4" w:space="0" w:color="auto"/>
              <w:right w:val="single" w:sz="4" w:space="0" w:color="auto"/>
            </w:tcBorders>
            <w:shd w:val="clear" w:color="auto" w:fill="auto"/>
            <w:noWrap/>
            <w:vAlign w:val="center"/>
            <w:hideMark/>
          </w:tcPr>
          <w:p w14:paraId="68D619CE" w14:textId="48755F40" w:rsidR="00DB0F13" w:rsidRPr="00DB0F13" w:rsidRDefault="00DB0F13" w:rsidP="00DB0F13">
            <w:pPr>
              <w:jc w:val="center"/>
              <w:rPr>
                <w:color w:val="000000"/>
                <w:sz w:val="22"/>
              </w:rPr>
            </w:pPr>
            <w:r w:rsidRPr="00DB0F13">
              <w:rPr>
                <w:sz w:val="22"/>
              </w:rPr>
              <w:t>33,100</w:t>
            </w:r>
          </w:p>
        </w:tc>
        <w:tc>
          <w:tcPr>
            <w:tcW w:w="1871" w:type="dxa"/>
            <w:tcBorders>
              <w:top w:val="nil"/>
              <w:left w:val="nil"/>
              <w:bottom w:val="single" w:sz="4" w:space="0" w:color="auto"/>
              <w:right w:val="single" w:sz="4" w:space="0" w:color="auto"/>
            </w:tcBorders>
            <w:shd w:val="clear" w:color="auto" w:fill="auto"/>
            <w:noWrap/>
            <w:vAlign w:val="center"/>
            <w:hideMark/>
          </w:tcPr>
          <w:p w14:paraId="78A8DF94" w14:textId="3205F683" w:rsidR="00DB0F13" w:rsidRPr="00DB0F13" w:rsidRDefault="00DB0F13" w:rsidP="00DB0F13">
            <w:pPr>
              <w:jc w:val="center"/>
              <w:rPr>
                <w:color w:val="000000"/>
                <w:sz w:val="22"/>
              </w:rPr>
            </w:pPr>
            <w:r w:rsidRPr="00DB0F13">
              <w:rPr>
                <w:sz w:val="22"/>
              </w:rPr>
              <w:t>28,500</w:t>
            </w:r>
          </w:p>
        </w:tc>
        <w:tc>
          <w:tcPr>
            <w:tcW w:w="1871" w:type="dxa"/>
            <w:tcBorders>
              <w:top w:val="single" w:sz="4" w:space="0" w:color="auto"/>
              <w:left w:val="nil"/>
              <w:bottom w:val="single" w:sz="4" w:space="0" w:color="auto"/>
              <w:right w:val="single" w:sz="4" w:space="0" w:color="auto"/>
            </w:tcBorders>
            <w:vAlign w:val="center"/>
          </w:tcPr>
          <w:p w14:paraId="2F6E3AA5" w14:textId="29CEDA2E" w:rsidR="00DB0F13" w:rsidRPr="00DB0F13" w:rsidRDefault="00DB0F13" w:rsidP="00DB0F13">
            <w:pPr>
              <w:jc w:val="center"/>
              <w:rPr>
                <w:color w:val="000000"/>
                <w:sz w:val="22"/>
              </w:rPr>
            </w:pPr>
            <w:r w:rsidRPr="00DB0F13">
              <w:rPr>
                <w:sz w:val="22"/>
              </w:rPr>
              <w:t>4,600</w:t>
            </w:r>
          </w:p>
        </w:tc>
        <w:tc>
          <w:tcPr>
            <w:tcW w:w="1871" w:type="dxa"/>
            <w:tcBorders>
              <w:top w:val="nil"/>
              <w:left w:val="single" w:sz="4" w:space="0" w:color="auto"/>
              <w:bottom w:val="single" w:sz="4" w:space="0" w:color="auto"/>
              <w:right w:val="single" w:sz="4" w:space="0" w:color="auto"/>
            </w:tcBorders>
            <w:vAlign w:val="center"/>
          </w:tcPr>
          <w:p w14:paraId="0196389D" w14:textId="0D959D27" w:rsidR="00DB0F13" w:rsidRPr="00DB0F13" w:rsidRDefault="00DB0F13" w:rsidP="00DB0F13">
            <w:pPr>
              <w:jc w:val="center"/>
              <w:rPr>
                <w:color w:val="000000"/>
                <w:sz w:val="22"/>
              </w:rPr>
            </w:pPr>
            <w:r w:rsidRPr="00DB0F13">
              <w:rPr>
                <w:sz w:val="22"/>
              </w:rPr>
              <w:t>14%</w:t>
            </w:r>
          </w:p>
        </w:tc>
      </w:tr>
      <w:tr w:rsidR="00DB0F13" w:rsidRPr="00A60630" w14:paraId="3AB2625A" w14:textId="77777777" w:rsidTr="00DB0F13">
        <w:trPr>
          <w:trHeight w:val="288"/>
        </w:trPr>
        <w:tc>
          <w:tcPr>
            <w:tcW w:w="1871" w:type="dxa"/>
            <w:tcBorders>
              <w:top w:val="nil"/>
              <w:left w:val="single" w:sz="4" w:space="0" w:color="auto"/>
              <w:bottom w:val="single" w:sz="4" w:space="0" w:color="auto"/>
              <w:right w:val="single" w:sz="4" w:space="0" w:color="auto"/>
            </w:tcBorders>
            <w:shd w:val="clear" w:color="auto" w:fill="auto"/>
            <w:noWrap/>
            <w:vAlign w:val="center"/>
            <w:hideMark/>
          </w:tcPr>
          <w:p w14:paraId="48012850" w14:textId="77777777" w:rsidR="00DB0F13" w:rsidRPr="00DB0F13" w:rsidRDefault="00DB0F13" w:rsidP="00DB0F13">
            <w:pPr>
              <w:jc w:val="center"/>
              <w:rPr>
                <w:color w:val="000000"/>
                <w:sz w:val="22"/>
              </w:rPr>
            </w:pPr>
            <w:r w:rsidRPr="00DB0F13">
              <w:rPr>
                <w:color w:val="000000"/>
                <w:sz w:val="22"/>
              </w:rPr>
              <w:t>2017</w:t>
            </w:r>
          </w:p>
        </w:tc>
        <w:tc>
          <w:tcPr>
            <w:tcW w:w="1871" w:type="dxa"/>
            <w:tcBorders>
              <w:top w:val="nil"/>
              <w:left w:val="nil"/>
              <w:bottom w:val="single" w:sz="4" w:space="0" w:color="auto"/>
              <w:right w:val="single" w:sz="4" w:space="0" w:color="auto"/>
            </w:tcBorders>
            <w:shd w:val="clear" w:color="auto" w:fill="auto"/>
            <w:noWrap/>
            <w:vAlign w:val="center"/>
            <w:hideMark/>
          </w:tcPr>
          <w:p w14:paraId="6F745A8E" w14:textId="72BA5D0F" w:rsidR="00DB0F13" w:rsidRPr="00DB0F13" w:rsidRDefault="00DB0F13" w:rsidP="00DB0F13">
            <w:pPr>
              <w:jc w:val="center"/>
              <w:rPr>
                <w:color w:val="000000"/>
                <w:sz w:val="22"/>
              </w:rPr>
            </w:pPr>
            <w:r w:rsidRPr="00DB0F13">
              <w:rPr>
                <w:sz w:val="22"/>
              </w:rPr>
              <w:t>30,300</w:t>
            </w:r>
          </w:p>
        </w:tc>
        <w:tc>
          <w:tcPr>
            <w:tcW w:w="1871" w:type="dxa"/>
            <w:tcBorders>
              <w:top w:val="nil"/>
              <w:left w:val="nil"/>
              <w:bottom w:val="single" w:sz="4" w:space="0" w:color="auto"/>
              <w:right w:val="single" w:sz="4" w:space="0" w:color="auto"/>
            </w:tcBorders>
            <w:shd w:val="clear" w:color="auto" w:fill="auto"/>
            <w:noWrap/>
            <w:vAlign w:val="center"/>
            <w:hideMark/>
          </w:tcPr>
          <w:p w14:paraId="5DC2DD17" w14:textId="41F175CF" w:rsidR="00DB0F13" w:rsidRPr="00DB0F13" w:rsidRDefault="00DB0F13" w:rsidP="00DB0F13">
            <w:pPr>
              <w:jc w:val="center"/>
              <w:rPr>
                <w:color w:val="000000"/>
                <w:sz w:val="22"/>
              </w:rPr>
            </w:pPr>
            <w:r w:rsidRPr="00DB0F13">
              <w:rPr>
                <w:sz w:val="22"/>
              </w:rPr>
              <w:t>28,000</w:t>
            </w:r>
          </w:p>
        </w:tc>
        <w:tc>
          <w:tcPr>
            <w:tcW w:w="1871" w:type="dxa"/>
            <w:tcBorders>
              <w:top w:val="single" w:sz="4" w:space="0" w:color="auto"/>
              <w:left w:val="nil"/>
              <w:bottom w:val="single" w:sz="4" w:space="0" w:color="auto"/>
              <w:right w:val="single" w:sz="4" w:space="0" w:color="auto"/>
            </w:tcBorders>
            <w:vAlign w:val="center"/>
          </w:tcPr>
          <w:p w14:paraId="6E1AF12F" w14:textId="67416DF9" w:rsidR="00DB0F13" w:rsidRPr="00DB0F13" w:rsidRDefault="00DB0F13" w:rsidP="00DB0F13">
            <w:pPr>
              <w:jc w:val="center"/>
              <w:rPr>
                <w:color w:val="000000"/>
                <w:sz w:val="22"/>
              </w:rPr>
            </w:pPr>
            <w:r w:rsidRPr="00DB0F13">
              <w:rPr>
                <w:sz w:val="22"/>
              </w:rPr>
              <w:t>2,300</w:t>
            </w:r>
          </w:p>
        </w:tc>
        <w:tc>
          <w:tcPr>
            <w:tcW w:w="1871" w:type="dxa"/>
            <w:tcBorders>
              <w:top w:val="nil"/>
              <w:left w:val="single" w:sz="4" w:space="0" w:color="auto"/>
              <w:bottom w:val="single" w:sz="4" w:space="0" w:color="auto"/>
              <w:right w:val="single" w:sz="4" w:space="0" w:color="auto"/>
            </w:tcBorders>
            <w:vAlign w:val="center"/>
          </w:tcPr>
          <w:p w14:paraId="17A89D97" w14:textId="24AF4664" w:rsidR="00DB0F13" w:rsidRPr="00DB0F13" w:rsidRDefault="00DB0F13" w:rsidP="00DB0F13">
            <w:pPr>
              <w:jc w:val="center"/>
              <w:rPr>
                <w:color w:val="000000"/>
                <w:sz w:val="22"/>
              </w:rPr>
            </w:pPr>
            <w:r w:rsidRPr="00DB0F13">
              <w:rPr>
                <w:sz w:val="22"/>
              </w:rPr>
              <w:t>8%</w:t>
            </w:r>
          </w:p>
        </w:tc>
      </w:tr>
      <w:tr w:rsidR="00DB0F13" w:rsidRPr="00A60630" w14:paraId="2D43C4CB" w14:textId="77777777" w:rsidTr="00DB0F13">
        <w:trPr>
          <w:trHeight w:val="288"/>
        </w:trPr>
        <w:tc>
          <w:tcPr>
            <w:tcW w:w="1871" w:type="dxa"/>
            <w:tcBorders>
              <w:top w:val="nil"/>
              <w:left w:val="single" w:sz="4" w:space="0" w:color="auto"/>
              <w:bottom w:val="single" w:sz="4" w:space="0" w:color="auto"/>
              <w:right w:val="single" w:sz="4" w:space="0" w:color="auto"/>
            </w:tcBorders>
            <w:shd w:val="clear" w:color="auto" w:fill="auto"/>
            <w:noWrap/>
            <w:vAlign w:val="center"/>
          </w:tcPr>
          <w:p w14:paraId="3C6C2475" w14:textId="4487B33C" w:rsidR="00DB0F13" w:rsidRPr="00DB0F13" w:rsidRDefault="00DB0F13" w:rsidP="00DB0F13">
            <w:pPr>
              <w:jc w:val="center"/>
              <w:rPr>
                <w:color w:val="000000"/>
                <w:sz w:val="22"/>
              </w:rPr>
            </w:pPr>
            <w:r w:rsidRPr="00DB0F13">
              <w:rPr>
                <w:color w:val="000000"/>
                <w:sz w:val="22"/>
              </w:rPr>
              <w:t>2018</w:t>
            </w:r>
          </w:p>
        </w:tc>
        <w:tc>
          <w:tcPr>
            <w:tcW w:w="1871" w:type="dxa"/>
            <w:tcBorders>
              <w:top w:val="nil"/>
              <w:left w:val="nil"/>
              <w:bottom w:val="single" w:sz="4" w:space="0" w:color="auto"/>
              <w:right w:val="single" w:sz="4" w:space="0" w:color="auto"/>
            </w:tcBorders>
            <w:shd w:val="clear" w:color="auto" w:fill="auto"/>
            <w:noWrap/>
            <w:vAlign w:val="center"/>
          </w:tcPr>
          <w:p w14:paraId="1BBF681C" w14:textId="732C3182" w:rsidR="00DB0F13" w:rsidRPr="00DB0F13" w:rsidRDefault="00DB0F13" w:rsidP="00DB0F13">
            <w:pPr>
              <w:jc w:val="center"/>
              <w:rPr>
                <w:color w:val="000000"/>
                <w:sz w:val="22"/>
              </w:rPr>
            </w:pPr>
            <w:r w:rsidRPr="00DB0F13">
              <w:rPr>
                <w:sz w:val="22"/>
              </w:rPr>
              <w:t>20,500</w:t>
            </w:r>
          </w:p>
        </w:tc>
        <w:tc>
          <w:tcPr>
            <w:tcW w:w="1871" w:type="dxa"/>
            <w:tcBorders>
              <w:top w:val="nil"/>
              <w:left w:val="nil"/>
              <w:bottom w:val="single" w:sz="4" w:space="0" w:color="auto"/>
              <w:right w:val="single" w:sz="4" w:space="0" w:color="auto"/>
            </w:tcBorders>
            <w:shd w:val="clear" w:color="auto" w:fill="auto"/>
            <w:noWrap/>
            <w:vAlign w:val="center"/>
          </w:tcPr>
          <w:p w14:paraId="1909B837" w14:textId="01743780" w:rsidR="00DB0F13" w:rsidRPr="00DB0F13" w:rsidRDefault="00DB0F13" w:rsidP="00DB0F13">
            <w:pPr>
              <w:jc w:val="center"/>
              <w:rPr>
                <w:color w:val="000000"/>
                <w:sz w:val="22"/>
              </w:rPr>
            </w:pPr>
            <w:r w:rsidRPr="00DB0F13">
              <w:rPr>
                <w:sz w:val="22"/>
              </w:rPr>
              <w:t>17,500</w:t>
            </w:r>
          </w:p>
        </w:tc>
        <w:tc>
          <w:tcPr>
            <w:tcW w:w="1871" w:type="dxa"/>
            <w:tcBorders>
              <w:top w:val="single" w:sz="4" w:space="0" w:color="auto"/>
              <w:left w:val="nil"/>
              <w:bottom w:val="single" w:sz="4" w:space="0" w:color="auto"/>
              <w:right w:val="single" w:sz="4" w:space="0" w:color="auto"/>
            </w:tcBorders>
            <w:vAlign w:val="center"/>
          </w:tcPr>
          <w:p w14:paraId="0C27C63E" w14:textId="6281D2EF" w:rsidR="00DB0F13" w:rsidRPr="00DB0F13" w:rsidRDefault="00DB0F13" w:rsidP="00DB0F13">
            <w:pPr>
              <w:jc w:val="center"/>
              <w:rPr>
                <w:color w:val="000000"/>
                <w:sz w:val="22"/>
              </w:rPr>
            </w:pPr>
            <w:r w:rsidRPr="00DB0F13">
              <w:rPr>
                <w:sz w:val="22"/>
              </w:rPr>
              <w:t>2,900</w:t>
            </w:r>
          </w:p>
        </w:tc>
        <w:tc>
          <w:tcPr>
            <w:tcW w:w="1871" w:type="dxa"/>
            <w:tcBorders>
              <w:top w:val="nil"/>
              <w:left w:val="single" w:sz="4" w:space="0" w:color="auto"/>
              <w:bottom w:val="single" w:sz="4" w:space="0" w:color="auto"/>
              <w:right w:val="single" w:sz="4" w:space="0" w:color="auto"/>
            </w:tcBorders>
            <w:vAlign w:val="center"/>
          </w:tcPr>
          <w:p w14:paraId="24ECD8BE" w14:textId="298605D3" w:rsidR="00DB0F13" w:rsidRPr="00DB0F13" w:rsidRDefault="00DB0F13" w:rsidP="00DB0F13">
            <w:pPr>
              <w:jc w:val="center"/>
              <w:rPr>
                <w:color w:val="000000"/>
                <w:sz w:val="22"/>
              </w:rPr>
            </w:pPr>
            <w:r w:rsidRPr="00DB0F13">
              <w:rPr>
                <w:sz w:val="22"/>
              </w:rPr>
              <w:t>14%</w:t>
            </w:r>
          </w:p>
        </w:tc>
      </w:tr>
      <w:tr w:rsidR="00DB0F13" w:rsidRPr="00A60630" w14:paraId="28904B6E" w14:textId="77777777" w:rsidTr="00DB0F13">
        <w:trPr>
          <w:trHeight w:val="288"/>
        </w:trPr>
        <w:tc>
          <w:tcPr>
            <w:tcW w:w="1871"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14:paraId="6873EEE2" w14:textId="77777777" w:rsidR="00DB0F13" w:rsidRPr="00DB0F13" w:rsidRDefault="00DB0F13" w:rsidP="00DB0F13">
            <w:pPr>
              <w:jc w:val="center"/>
              <w:rPr>
                <w:b/>
                <w:bCs/>
                <w:color w:val="000000"/>
                <w:sz w:val="22"/>
              </w:rPr>
            </w:pPr>
            <w:r w:rsidRPr="00DB0F13">
              <w:rPr>
                <w:b/>
                <w:bCs/>
                <w:color w:val="000000"/>
                <w:sz w:val="22"/>
              </w:rPr>
              <w:t>Total</w:t>
            </w:r>
          </w:p>
        </w:tc>
        <w:tc>
          <w:tcPr>
            <w:tcW w:w="1871" w:type="dxa"/>
            <w:tcBorders>
              <w:top w:val="nil"/>
              <w:left w:val="nil"/>
              <w:bottom w:val="single" w:sz="4" w:space="0" w:color="auto"/>
              <w:right w:val="single" w:sz="4" w:space="0" w:color="auto"/>
            </w:tcBorders>
            <w:shd w:val="clear" w:color="auto" w:fill="BFBFBF" w:themeFill="background1" w:themeFillShade="BF"/>
            <w:noWrap/>
            <w:vAlign w:val="center"/>
            <w:hideMark/>
          </w:tcPr>
          <w:p w14:paraId="42A04C49" w14:textId="592DAD86" w:rsidR="00DB0F13" w:rsidRPr="00DB0F13" w:rsidRDefault="00DB0F13" w:rsidP="00DB0F13">
            <w:pPr>
              <w:jc w:val="center"/>
              <w:rPr>
                <w:b/>
                <w:bCs/>
                <w:color w:val="000000"/>
                <w:sz w:val="22"/>
              </w:rPr>
            </w:pPr>
            <w:r w:rsidRPr="00DB0F13">
              <w:rPr>
                <w:b/>
                <w:sz w:val="22"/>
              </w:rPr>
              <w:t>182,700</w:t>
            </w:r>
          </w:p>
        </w:tc>
        <w:tc>
          <w:tcPr>
            <w:tcW w:w="1871" w:type="dxa"/>
            <w:tcBorders>
              <w:top w:val="nil"/>
              <w:left w:val="nil"/>
              <w:bottom w:val="single" w:sz="4" w:space="0" w:color="auto"/>
              <w:right w:val="single" w:sz="4" w:space="0" w:color="auto"/>
            </w:tcBorders>
            <w:shd w:val="clear" w:color="auto" w:fill="BFBFBF" w:themeFill="background1" w:themeFillShade="BF"/>
            <w:noWrap/>
            <w:vAlign w:val="center"/>
            <w:hideMark/>
          </w:tcPr>
          <w:p w14:paraId="1A9B73D9" w14:textId="2CDE0A03" w:rsidR="00DB0F13" w:rsidRPr="00DB0F13" w:rsidRDefault="00DB0F13" w:rsidP="00DB0F13">
            <w:pPr>
              <w:jc w:val="center"/>
              <w:rPr>
                <w:b/>
                <w:bCs/>
                <w:color w:val="000000"/>
                <w:sz w:val="22"/>
              </w:rPr>
            </w:pPr>
            <w:r w:rsidRPr="00DB0F13">
              <w:rPr>
                <w:b/>
                <w:sz w:val="22"/>
              </w:rPr>
              <w:t>164,700</w:t>
            </w:r>
          </w:p>
        </w:tc>
        <w:tc>
          <w:tcPr>
            <w:tcW w:w="1871"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8FE23F9" w14:textId="5D32DF6B" w:rsidR="00DB0F13" w:rsidRPr="00DB0F13" w:rsidRDefault="00DB0F13" w:rsidP="00DB0F13">
            <w:pPr>
              <w:jc w:val="center"/>
              <w:rPr>
                <w:b/>
                <w:bCs/>
                <w:color w:val="000000"/>
                <w:sz w:val="22"/>
              </w:rPr>
            </w:pPr>
            <w:r w:rsidRPr="00DB0F13">
              <w:rPr>
                <w:b/>
                <w:sz w:val="22"/>
              </w:rPr>
              <w:t>18,000</w:t>
            </w:r>
          </w:p>
        </w:tc>
        <w:tc>
          <w:tcPr>
            <w:tcW w:w="1871" w:type="dxa"/>
            <w:tcBorders>
              <w:top w:val="nil"/>
              <w:left w:val="single" w:sz="4" w:space="0" w:color="auto"/>
              <w:bottom w:val="single" w:sz="4" w:space="0" w:color="auto"/>
              <w:right w:val="single" w:sz="4" w:space="0" w:color="auto"/>
            </w:tcBorders>
            <w:shd w:val="clear" w:color="auto" w:fill="BFBFBF" w:themeFill="background1" w:themeFillShade="BF"/>
            <w:vAlign w:val="center"/>
          </w:tcPr>
          <w:p w14:paraId="58B811D0" w14:textId="5BDA3C5F" w:rsidR="00DB0F13" w:rsidRPr="00DB0F13" w:rsidRDefault="00DB0F13" w:rsidP="00DB0F13">
            <w:pPr>
              <w:jc w:val="center"/>
              <w:rPr>
                <w:b/>
                <w:bCs/>
                <w:color w:val="000000"/>
                <w:sz w:val="22"/>
              </w:rPr>
            </w:pPr>
            <w:r w:rsidRPr="00DB0F13">
              <w:rPr>
                <w:b/>
                <w:sz w:val="22"/>
              </w:rPr>
              <w:t>10%</w:t>
            </w:r>
          </w:p>
        </w:tc>
      </w:tr>
      <w:tr w:rsidR="00DB0F13" w:rsidRPr="00A60630" w14:paraId="2E4B8D30" w14:textId="77777777" w:rsidTr="00DB0F13">
        <w:trPr>
          <w:trHeight w:val="288"/>
        </w:trPr>
        <w:tc>
          <w:tcPr>
            <w:tcW w:w="1871"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14:paraId="42AA7FE5" w14:textId="77777777" w:rsidR="00DB0F13" w:rsidRPr="00DB0F13" w:rsidRDefault="00DB0F13" w:rsidP="00DB0F13">
            <w:pPr>
              <w:jc w:val="center"/>
              <w:rPr>
                <w:b/>
                <w:bCs/>
                <w:color w:val="000000"/>
                <w:sz w:val="22"/>
              </w:rPr>
            </w:pPr>
            <w:r w:rsidRPr="00DB0F13">
              <w:rPr>
                <w:b/>
                <w:bCs/>
                <w:color w:val="000000"/>
                <w:sz w:val="22"/>
              </w:rPr>
              <w:t>Average</w:t>
            </w:r>
          </w:p>
        </w:tc>
        <w:tc>
          <w:tcPr>
            <w:tcW w:w="1871" w:type="dxa"/>
            <w:tcBorders>
              <w:top w:val="nil"/>
              <w:left w:val="nil"/>
              <w:bottom w:val="single" w:sz="4" w:space="0" w:color="auto"/>
              <w:right w:val="single" w:sz="4" w:space="0" w:color="auto"/>
            </w:tcBorders>
            <w:shd w:val="clear" w:color="auto" w:fill="BFBFBF" w:themeFill="background1" w:themeFillShade="BF"/>
            <w:noWrap/>
            <w:vAlign w:val="center"/>
            <w:hideMark/>
          </w:tcPr>
          <w:p w14:paraId="21F9523B" w14:textId="7DBCFB9E" w:rsidR="00DB0F13" w:rsidRPr="00DB0F13" w:rsidRDefault="00DB0F13" w:rsidP="00DB0F13">
            <w:pPr>
              <w:jc w:val="center"/>
              <w:rPr>
                <w:b/>
                <w:bCs/>
                <w:color w:val="000000"/>
                <w:sz w:val="22"/>
              </w:rPr>
            </w:pPr>
            <w:r w:rsidRPr="00DB0F13">
              <w:rPr>
                <w:b/>
                <w:sz w:val="22"/>
              </w:rPr>
              <w:t>26,100</w:t>
            </w:r>
          </w:p>
        </w:tc>
        <w:tc>
          <w:tcPr>
            <w:tcW w:w="1871" w:type="dxa"/>
            <w:tcBorders>
              <w:top w:val="nil"/>
              <w:left w:val="nil"/>
              <w:bottom w:val="single" w:sz="4" w:space="0" w:color="auto"/>
              <w:right w:val="single" w:sz="4" w:space="0" w:color="auto"/>
            </w:tcBorders>
            <w:shd w:val="clear" w:color="auto" w:fill="BFBFBF" w:themeFill="background1" w:themeFillShade="BF"/>
            <w:noWrap/>
            <w:vAlign w:val="center"/>
            <w:hideMark/>
          </w:tcPr>
          <w:p w14:paraId="74D45355" w14:textId="6BCC5D96" w:rsidR="00DB0F13" w:rsidRPr="00DB0F13" w:rsidRDefault="00DB0F13" w:rsidP="00DB0F13">
            <w:pPr>
              <w:jc w:val="center"/>
              <w:rPr>
                <w:b/>
                <w:bCs/>
                <w:color w:val="000000"/>
                <w:sz w:val="22"/>
              </w:rPr>
            </w:pPr>
            <w:r w:rsidRPr="00DB0F13">
              <w:rPr>
                <w:b/>
                <w:sz w:val="22"/>
              </w:rPr>
              <w:t>23,500</w:t>
            </w:r>
          </w:p>
        </w:tc>
        <w:tc>
          <w:tcPr>
            <w:tcW w:w="1871"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0A8C36AF" w14:textId="1A2F45B8" w:rsidR="00DB0F13" w:rsidRPr="00DB0F13" w:rsidRDefault="00DB0F13" w:rsidP="00DB0F13">
            <w:pPr>
              <w:jc w:val="center"/>
              <w:rPr>
                <w:b/>
                <w:bCs/>
                <w:color w:val="000000"/>
                <w:sz w:val="22"/>
              </w:rPr>
            </w:pPr>
            <w:r w:rsidRPr="00DB0F13">
              <w:rPr>
                <w:b/>
                <w:sz w:val="22"/>
              </w:rPr>
              <w:t>2,600</w:t>
            </w:r>
          </w:p>
        </w:tc>
        <w:tc>
          <w:tcPr>
            <w:tcW w:w="1871" w:type="dxa"/>
            <w:tcBorders>
              <w:top w:val="nil"/>
              <w:left w:val="single" w:sz="4" w:space="0" w:color="auto"/>
              <w:bottom w:val="single" w:sz="4" w:space="0" w:color="auto"/>
              <w:right w:val="single" w:sz="4" w:space="0" w:color="auto"/>
            </w:tcBorders>
            <w:shd w:val="clear" w:color="auto" w:fill="BFBFBF" w:themeFill="background1" w:themeFillShade="BF"/>
            <w:vAlign w:val="center"/>
          </w:tcPr>
          <w:p w14:paraId="108DE309" w14:textId="672C086B" w:rsidR="00DB0F13" w:rsidRPr="00DB0F13" w:rsidRDefault="00DB0F13" w:rsidP="00DB0F13">
            <w:pPr>
              <w:jc w:val="center"/>
              <w:rPr>
                <w:b/>
                <w:bCs/>
                <w:color w:val="000000"/>
                <w:sz w:val="22"/>
              </w:rPr>
            </w:pPr>
            <w:r w:rsidRPr="00DB0F13">
              <w:rPr>
                <w:b/>
                <w:sz w:val="22"/>
              </w:rPr>
              <w:t>10%</w:t>
            </w:r>
          </w:p>
        </w:tc>
      </w:tr>
    </w:tbl>
    <w:p w14:paraId="4900D06B" w14:textId="0DFC9051" w:rsidR="004E0658" w:rsidRDefault="004E0658" w:rsidP="00B9798C">
      <w:pPr>
        <w:pStyle w:val="ListParagraph"/>
        <w:numPr>
          <w:ilvl w:val="0"/>
          <w:numId w:val="3"/>
        </w:numPr>
        <w:spacing w:before="240" w:after="240"/>
        <w:ind w:left="360"/>
        <w:rPr>
          <w:b/>
        </w:rPr>
      </w:pPr>
      <w:r>
        <w:rPr>
          <w:b/>
        </w:rPr>
        <w:t>Pathfinder Municipal Account Lease</w:t>
      </w:r>
    </w:p>
    <w:p w14:paraId="07EBE13B" w14:textId="44D12ECA" w:rsidR="007C5AC2" w:rsidRDefault="007C5AC2" w:rsidP="004E0658">
      <w:pPr>
        <w:pStyle w:val="ListParagraph"/>
        <w:spacing w:before="120" w:after="240"/>
        <w:ind w:left="0"/>
        <w:rPr>
          <w:szCs w:val="24"/>
        </w:rPr>
      </w:pPr>
      <w:r>
        <w:rPr>
          <w:szCs w:val="24"/>
        </w:rPr>
        <w:t xml:space="preserve">In 2011, the Program </w:t>
      </w:r>
      <w:r w:rsidR="003B207B">
        <w:rPr>
          <w:szCs w:val="24"/>
        </w:rPr>
        <w:t>signed an agreement with the Wyoming Water Development Office (WWDO) to lease water from the Pathfinder Municipal Account</w:t>
      </w:r>
      <w:r w:rsidR="00150537">
        <w:rPr>
          <w:rStyle w:val="FootnoteReference"/>
          <w:szCs w:val="24"/>
        </w:rPr>
        <w:footnoteReference w:id="23"/>
      </w:r>
      <w:r w:rsidR="003B207B">
        <w:rPr>
          <w:szCs w:val="24"/>
        </w:rPr>
        <w:t>.  The agreement</w:t>
      </w:r>
      <w:r w:rsidR="006A72B5">
        <w:rPr>
          <w:szCs w:val="24"/>
        </w:rPr>
        <w:t xml:space="preserve">, which is included in </w:t>
      </w:r>
      <w:r w:rsidR="006A72B5" w:rsidRPr="00E9309B">
        <w:rPr>
          <w:b/>
          <w:szCs w:val="24"/>
        </w:rPr>
        <w:t xml:space="preserve">Appendix </w:t>
      </w:r>
      <w:r w:rsidR="00E27C8F">
        <w:rPr>
          <w:b/>
          <w:szCs w:val="24"/>
        </w:rPr>
        <w:t>H</w:t>
      </w:r>
      <w:r w:rsidR="006A72B5">
        <w:rPr>
          <w:szCs w:val="24"/>
        </w:rPr>
        <w:t>,</w:t>
      </w:r>
      <w:r w:rsidR="003B207B">
        <w:rPr>
          <w:szCs w:val="24"/>
        </w:rPr>
        <w:t xml:space="preserve"> </w:t>
      </w:r>
      <w:r w:rsidR="006A72B5">
        <w:rPr>
          <w:szCs w:val="24"/>
        </w:rPr>
        <w:t>required</w:t>
      </w:r>
      <w:r w:rsidR="003B207B">
        <w:rPr>
          <w:szCs w:val="24"/>
        </w:rPr>
        <w:t xml:space="preserve"> advance payment for 38,400 AF assuming </w:t>
      </w:r>
      <w:r w:rsidR="00A3739A">
        <w:rPr>
          <w:szCs w:val="24"/>
        </w:rPr>
        <w:t xml:space="preserve">baseline </w:t>
      </w:r>
      <w:r w:rsidR="006A72B5">
        <w:rPr>
          <w:szCs w:val="24"/>
        </w:rPr>
        <w:t xml:space="preserve">releases of </w:t>
      </w:r>
      <w:r w:rsidR="003B207B">
        <w:rPr>
          <w:szCs w:val="24"/>
        </w:rPr>
        <w:t xml:space="preserve">4,800 AF per year for the period 2012-2019.  </w:t>
      </w:r>
      <w:r w:rsidR="00A3739A">
        <w:rPr>
          <w:szCs w:val="24"/>
        </w:rPr>
        <w:t xml:space="preserve">Additional water (up to 4,800 AF more) </w:t>
      </w:r>
      <w:r w:rsidR="003B207B">
        <w:rPr>
          <w:szCs w:val="24"/>
        </w:rPr>
        <w:t>may be available</w:t>
      </w:r>
      <w:r w:rsidR="00F12DF8">
        <w:rPr>
          <w:szCs w:val="24"/>
        </w:rPr>
        <w:t xml:space="preserve"> for a maximum </w:t>
      </w:r>
      <w:r w:rsidR="00A3739A">
        <w:rPr>
          <w:szCs w:val="24"/>
        </w:rPr>
        <w:t xml:space="preserve">Municipal Account release </w:t>
      </w:r>
      <w:r w:rsidR="00F12DF8">
        <w:rPr>
          <w:szCs w:val="24"/>
        </w:rPr>
        <w:t xml:space="preserve">of 9,600 AF </w:t>
      </w:r>
      <w:r w:rsidR="003B207B">
        <w:rPr>
          <w:szCs w:val="24"/>
        </w:rPr>
        <w:t>each year</w:t>
      </w:r>
      <w:r w:rsidR="004F757C">
        <w:rPr>
          <w:rStyle w:val="FootnoteReference"/>
          <w:szCs w:val="24"/>
        </w:rPr>
        <w:footnoteReference w:id="24"/>
      </w:r>
      <w:r w:rsidR="00A3739A">
        <w:rPr>
          <w:szCs w:val="24"/>
        </w:rPr>
        <w:t xml:space="preserve">, and the Program accepted additional water in several years.  As a result, the last of the original 38,400 AF that was pre-paid was released in 2017, </w:t>
      </w:r>
      <w:r w:rsidR="003B207B">
        <w:rPr>
          <w:szCs w:val="24"/>
        </w:rPr>
        <w:t xml:space="preserve">but the agreement included a provision to allow the Program to continue purchasing </w:t>
      </w:r>
      <w:r w:rsidR="0083221E">
        <w:rPr>
          <w:szCs w:val="24"/>
        </w:rPr>
        <w:t xml:space="preserve">additional </w:t>
      </w:r>
      <w:r w:rsidR="003B207B">
        <w:rPr>
          <w:szCs w:val="24"/>
        </w:rPr>
        <w:t>Municipal Account water</w:t>
      </w:r>
      <w:r w:rsidR="006A72B5">
        <w:rPr>
          <w:szCs w:val="24"/>
        </w:rPr>
        <w:t xml:space="preserve"> </w:t>
      </w:r>
      <w:r w:rsidR="00A3739A">
        <w:rPr>
          <w:szCs w:val="24"/>
        </w:rPr>
        <w:t>through the end of the First Increment</w:t>
      </w:r>
      <w:r w:rsidR="003B207B">
        <w:rPr>
          <w:szCs w:val="24"/>
        </w:rPr>
        <w:t>.</w:t>
      </w:r>
    </w:p>
    <w:p w14:paraId="2CBBB29B" w14:textId="26D51CAD" w:rsidR="003B207B" w:rsidRDefault="003B207B" w:rsidP="004E0658">
      <w:pPr>
        <w:pStyle w:val="ListParagraph"/>
        <w:spacing w:before="120" w:after="240"/>
        <w:ind w:left="0"/>
        <w:rPr>
          <w:szCs w:val="24"/>
        </w:rPr>
      </w:pPr>
      <w:r>
        <w:rPr>
          <w:szCs w:val="24"/>
        </w:rPr>
        <w:t>Leased water is released from the Municipal Account at the end of the irrigation season and flows down the North Platte River to the Lake McConaughy EA.  Transit losses are assessed</w:t>
      </w:r>
      <w:r w:rsidR="002740CB">
        <w:rPr>
          <w:szCs w:val="24"/>
        </w:rPr>
        <w:t xml:space="preserve">, reducing the amount of Municipal Account water credited to the Lake McConaughy EA.  Once in Lake McConaughy, the </w:t>
      </w:r>
      <w:r w:rsidR="005E4E75">
        <w:rPr>
          <w:szCs w:val="24"/>
        </w:rPr>
        <w:t xml:space="preserve">Municipal </w:t>
      </w:r>
      <w:r w:rsidR="002740CB">
        <w:rPr>
          <w:szCs w:val="24"/>
        </w:rPr>
        <w:t xml:space="preserve">Account water loses its unique identity and becomes part of the </w:t>
      </w:r>
      <w:r w:rsidR="002F4410">
        <w:rPr>
          <w:szCs w:val="24"/>
        </w:rPr>
        <w:t>combined</w:t>
      </w:r>
      <w:r w:rsidR="002740CB">
        <w:rPr>
          <w:szCs w:val="24"/>
        </w:rPr>
        <w:t xml:space="preserve"> Lake McConaughy EA supply.</w:t>
      </w:r>
      <w:r w:rsidR="00C97604">
        <w:rPr>
          <w:szCs w:val="24"/>
        </w:rPr>
        <w:t xml:space="preserve">  </w:t>
      </w:r>
      <w:r w:rsidR="00FC112E">
        <w:rPr>
          <w:szCs w:val="24"/>
        </w:rPr>
        <w:t>In 2018, t</w:t>
      </w:r>
      <w:r w:rsidR="00C97604">
        <w:rPr>
          <w:szCs w:val="24"/>
        </w:rPr>
        <w:t xml:space="preserve">he Program purchased 8,100 AF from the </w:t>
      </w:r>
      <w:r w:rsidR="00FC112E">
        <w:rPr>
          <w:szCs w:val="24"/>
        </w:rPr>
        <w:t xml:space="preserve">Pathfinder </w:t>
      </w:r>
      <w:r w:rsidR="00C97604">
        <w:rPr>
          <w:szCs w:val="24"/>
        </w:rPr>
        <w:t>Municipal Account, which included the 4,800 AF base delivery plus an additional 3,300 AF.</w:t>
      </w:r>
      <w:r w:rsidR="00976B7E">
        <w:rPr>
          <w:szCs w:val="24"/>
        </w:rPr>
        <w:t xml:space="preserve">  Th</w:t>
      </w:r>
      <w:r w:rsidR="00970AA1">
        <w:rPr>
          <w:szCs w:val="24"/>
        </w:rPr>
        <w:t>e purchased water was released from Pathfinder Reservoir in September 2018; after accounting for transit losses, an estimated 6,943 AF reached and was credited to the Lake McConaughy EA.</w:t>
      </w:r>
      <w:r w:rsidR="00C97604">
        <w:rPr>
          <w:szCs w:val="24"/>
        </w:rPr>
        <w:t xml:space="preserve">  </w:t>
      </w:r>
      <w:r w:rsidR="00C97604" w:rsidRPr="00D16EE0">
        <w:rPr>
          <w:b/>
          <w:szCs w:val="24"/>
        </w:rPr>
        <w:t xml:space="preserve">Table </w:t>
      </w:r>
      <w:r w:rsidR="00E27C8F">
        <w:rPr>
          <w:b/>
          <w:szCs w:val="24"/>
        </w:rPr>
        <w:t>10</w:t>
      </w:r>
      <w:r w:rsidR="00E27C8F">
        <w:rPr>
          <w:szCs w:val="24"/>
        </w:rPr>
        <w:t xml:space="preserve"> </w:t>
      </w:r>
      <w:r w:rsidR="00C97604">
        <w:rPr>
          <w:szCs w:val="24"/>
        </w:rPr>
        <w:t xml:space="preserve">shows the </w:t>
      </w:r>
      <w:r w:rsidR="00A06DDB">
        <w:rPr>
          <w:szCs w:val="24"/>
        </w:rPr>
        <w:t xml:space="preserve">annual </w:t>
      </w:r>
      <w:r w:rsidR="00C97604">
        <w:rPr>
          <w:szCs w:val="24"/>
        </w:rPr>
        <w:t xml:space="preserve">Municipal Account release volumes and the amounts </w:t>
      </w:r>
      <w:r w:rsidR="00916840">
        <w:rPr>
          <w:szCs w:val="24"/>
        </w:rPr>
        <w:t>reaching Lake McConaughy since the beginning of operations under the lease agreement in 2012</w:t>
      </w:r>
      <w:r w:rsidR="00C97604">
        <w:rPr>
          <w:szCs w:val="24"/>
        </w:rPr>
        <w:t>.</w:t>
      </w:r>
    </w:p>
    <w:p w14:paraId="54886090" w14:textId="0A864274" w:rsidR="002740CB" w:rsidRPr="004F757C" w:rsidRDefault="002740CB" w:rsidP="002740CB">
      <w:pPr>
        <w:spacing w:line="240" w:lineRule="exact"/>
        <w:rPr>
          <w:b/>
          <w:sz w:val="22"/>
        </w:rPr>
      </w:pPr>
      <w:r w:rsidRPr="004F757C">
        <w:rPr>
          <w:b/>
          <w:sz w:val="22"/>
        </w:rPr>
        <w:lastRenderedPageBreak/>
        <w:t xml:space="preserve">Table </w:t>
      </w:r>
      <w:r w:rsidR="00E27C8F">
        <w:rPr>
          <w:b/>
          <w:sz w:val="22"/>
        </w:rPr>
        <w:t>10</w:t>
      </w:r>
      <w:r w:rsidR="009D4FD7">
        <w:rPr>
          <w:b/>
          <w:sz w:val="22"/>
        </w:rPr>
        <w:t>.</w:t>
      </w:r>
      <w:r w:rsidRPr="004F757C">
        <w:rPr>
          <w:b/>
          <w:sz w:val="22"/>
        </w:rPr>
        <w:t xml:space="preserve"> Pathfinder Municipal Account Lease Yields</w:t>
      </w:r>
      <w:r w:rsidR="00F36C4E" w:rsidRPr="00E809F5">
        <w:rPr>
          <w:b/>
          <w:sz w:val="22"/>
          <w:vertAlign w:val="superscript"/>
        </w:rPr>
        <w:t>1</w:t>
      </w:r>
    </w:p>
    <w:tbl>
      <w:tblPr>
        <w:tblW w:w="9355" w:type="dxa"/>
        <w:tblInd w:w="-5" w:type="dxa"/>
        <w:tblLayout w:type="fixed"/>
        <w:tblLook w:val="04A0" w:firstRow="1" w:lastRow="0" w:firstColumn="1" w:lastColumn="0" w:noHBand="0" w:noVBand="1"/>
      </w:tblPr>
      <w:tblGrid>
        <w:gridCol w:w="1871"/>
        <w:gridCol w:w="1871"/>
        <w:gridCol w:w="1871"/>
        <w:gridCol w:w="1871"/>
        <w:gridCol w:w="1871"/>
      </w:tblGrid>
      <w:tr w:rsidR="00916840" w:rsidRPr="004F757C" w14:paraId="334B7991" w14:textId="77777777" w:rsidTr="00916840">
        <w:trPr>
          <w:trHeight w:val="684"/>
        </w:trPr>
        <w:tc>
          <w:tcPr>
            <w:tcW w:w="1871"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hideMark/>
          </w:tcPr>
          <w:p w14:paraId="0EED5D71" w14:textId="77777777" w:rsidR="00916840" w:rsidRPr="004F757C" w:rsidRDefault="00916840" w:rsidP="00B76952">
            <w:pPr>
              <w:jc w:val="center"/>
              <w:rPr>
                <w:b/>
                <w:bCs/>
                <w:color w:val="000000"/>
                <w:sz w:val="22"/>
              </w:rPr>
            </w:pPr>
            <w:r w:rsidRPr="004F757C">
              <w:rPr>
                <w:b/>
                <w:bCs/>
                <w:color w:val="000000"/>
                <w:sz w:val="22"/>
              </w:rPr>
              <w:t>Year</w:t>
            </w:r>
          </w:p>
        </w:tc>
        <w:tc>
          <w:tcPr>
            <w:tcW w:w="1871" w:type="dxa"/>
            <w:tcBorders>
              <w:top w:val="single" w:sz="4" w:space="0" w:color="auto"/>
              <w:left w:val="nil"/>
              <w:bottom w:val="single" w:sz="4" w:space="0" w:color="auto"/>
              <w:right w:val="single" w:sz="4" w:space="0" w:color="auto"/>
            </w:tcBorders>
            <w:shd w:val="clear" w:color="auto" w:fill="C2D69B" w:themeFill="accent3" w:themeFillTint="99"/>
            <w:vAlign w:val="bottom"/>
            <w:hideMark/>
          </w:tcPr>
          <w:p w14:paraId="43266575" w14:textId="77777777" w:rsidR="00916840" w:rsidRPr="004F757C" w:rsidRDefault="00916840" w:rsidP="00B76952">
            <w:pPr>
              <w:jc w:val="center"/>
              <w:rPr>
                <w:b/>
                <w:bCs/>
                <w:color w:val="000000"/>
                <w:sz w:val="22"/>
              </w:rPr>
            </w:pPr>
            <w:r w:rsidRPr="004F757C">
              <w:rPr>
                <w:b/>
                <w:bCs/>
                <w:color w:val="000000"/>
                <w:sz w:val="22"/>
              </w:rPr>
              <w:t>Releases Measured at Pathfinder Dam</w:t>
            </w:r>
          </w:p>
          <w:p w14:paraId="330F1631" w14:textId="77777777" w:rsidR="00916840" w:rsidRPr="004F757C" w:rsidRDefault="00916840" w:rsidP="00B76952">
            <w:pPr>
              <w:jc w:val="center"/>
              <w:rPr>
                <w:b/>
                <w:bCs/>
                <w:color w:val="000000"/>
                <w:sz w:val="22"/>
              </w:rPr>
            </w:pPr>
            <w:r w:rsidRPr="004F757C">
              <w:rPr>
                <w:b/>
                <w:bCs/>
                <w:color w:val="000000"/>
                <w:sz w:val="22"/>
              </w:rPr>
              <w:t>(AF)</w:t>
            </w:r>
          </w:p>
        </w:tc>
        <w:tc>
          <w:tcPr>
            <w:tcW w:w="1871" w:type="dxa"/>
            <w:tcBorders>
              <w:top w:val="single" w:sz="4" w:space="0" w:color="auto"/>
              <w:left w:val="nil"/>
              <w:bottom w:val="single" w:sz="4" w:space="0" w:color="auto"/>
              <w:right w:val="single" w:sz="4" w:space="0" w:color="auto"/>
            </w:tcBorders>
            <w:shd w:val="clear" w:color="auto" w:fill="C2D69B" w:themeFill="accent3" w:themeFillTint="99"/>
            <w:vAlign w:val="bottom"/>
            <w:hideMark/>
          </w:tcPr>
          <w:p w14:paraId="64D323B9" w14:textId="78F8AA53" w:rsidR="00916840" w:rsidRPr="004F757C" w:rsidRDefault="00916840" w:rsidP="00B76952">
            <w:pPr>
              <w:jc w:val="center"/>
              <w:rPr>
                <w:b/>
                <w:bCs/>
                <w:color w:val="000000"/>
                <w:sz w:val="22"/>
              </w:rPr>
            </w:pPr>
            <w:r w:rsidRPr="004F757C">
              <w:rPr>
                <w:b/>
                <w:bCs/>
                <w:color w:val="000000"/>
                <w:sz w:val="22"/>
              </w:rPr>
              <w:t xml:space="preserve">Deliveries to Lake McConaughy </w:t>
            </w:r>
            <w:r w:rsidRPr="004F757C">
              <w:rPr>
                <w:b/>
                <w:bCs/>
                <w:color w:val="000000"/>
                <w:sz w:val="22"/>
              </w:rPr>
              <w:br/>
              <w:t>(AF)</w:t>
            </w:r>
          </w:p>
        </w:tc>
        <w:tc>
          <w:tcPr>
            <w:tcW w:w="1871" w:type="dxa"/>
            <w:tcBorders>
              <w:top w:val="single" w:sz="4" w:space="0" w:color="auto"/>
              <w:left w:val="nil"/>
              <w:bottom w:val="single" w:sz="4" w:space="0" w:color="auto"/>
              <w:right w:val="single" w:sz="4" w:space="0" w:color="auto"/>
            </w:tcBorders>
            <w:shd w:val="clear" w:color="auto" w:fill="C2D69B" w:themeFill="accent3" w:themeFillTint="99"/>
            <w:vAlign w:val="bottom"/>
          </w:tcPr>
          <w:p w14:paraId="1B7796E2" w14:textId="77777777" w:rsidR="00916840" w:rsidRDefault="00916840" w:rsidP="00B76952">
            <w:pPr>
              <w:jc w:val="center"/>
              <w:rPr>
                <w:b/>
                <w:bCs/>
                <w:color w:val="000000"/>
                <w:sz w:val="22"/>
              </w:rPr>
            </w:pPr>
            <w:r>
              <w:rPr>
                <w:b/>
                <w:bCs/>
                <w:color w:val="000000"/>
                <w:sz w:val="22"/>
              </w:rPr>
              <w:t>Transit Losses</w:t>
            </w:r>
          </w:p>
          <w:p w14:paraId="6488F4BE" w14:textId="7588B9AC" w:rsidR="00916840" w:rsidRPr="004F757C" w:rsidRDefault="00916840" w:rsidP="00B76952">
            <w:pPr>
              <w:jc w:val="center"/>
              <w:rPr>
                <w:b/>
                <w:bCs/>
                <w:color w:val="000000"/>
                <w:sz w:val="22"/>
              </w:rPr>
            </w:pPr>
            <w:r>
              <w:rPr>
                <w:b/>
                <w:bCs/>
                <w:color w:val="000000"/>
                <w:sz w:val="22"/>
              </w:rPr>
              <w:t>(AF)</w:t>
            </w:r>
          </w:p>
        </w:tc>
        <w:tc>
          <w:tcPr>
            <w:tcW w:w="1871"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tcPr>
          <w:p w14:paraId="130E6CD1" w14:textId="42D445DD" w:rsidR="00916840" w:rsidRPr="004F757C" w:rsidRDefault="00916840" w:rsidP="00B76952">
            <w:pPr>
              <w:jc w:val="center"/>
              <w:rPr>
                <w:b/>
                <w:bCs/>
                <w:color w:val="000000"/>
                <w:sz w:val="22"/>
              </w:rPr>
            </w:pPr>
            <w:r w:rsidRPr="004F757C">
              <w:rPr>
                <w:b/>
                <w:bCs/>
                <w:color w:val="000000"/>
                <w:sz w:val="22"/>
              </w:rPr>
              <w:t xml:space="preserve">Transit Losses </w:t>
            </w:r>
          </w:p>
          <w:p w14:paraId="2B714407" w14:textId="77777777" w:rsidR="00916840" w:rsidRPr="004F757C" w:rsidRDefault="00916840" w:rsidP="00B76952">
            <w:pPr>
              <w:jc w:val="center"/>
              <w:rPr>
                <w:b/>
                <w:bCs/>
                <w:color w:val="000000"/>
                <w:sz w:val="22"/>
              </w:rPr>
            </w:pPr>
            <w:r w:rsidRPr="004F757C">
              <w:rPr>
                <w:b/>
                <w:bCs/>
                <w:color w:val="000000"/>
                <w:sz w:val="22"/>
              </w:rPr>
              <w:t>(%)</w:t>
            </w:r>
          </w:p>
        </w:tc>
      </w:tr>
      <w:tr w:rsidR="00C71A2A" w:rsidRPr="004F757C" w14:paraId="3FA5CA9A" w14:textId="77777777" w:rsidTr="00972977">
        <w:trPr>
          <w:trHeight w:val="288"/>
        </w:trPr>
        <w:tc>
          <w:tcPr>
            <w:tcW w:w="1871" w:type="dxa"/>
            <w:tcBorders>
              <w:top w:val="nil"/>
              <w:left w:val="single" w:sz="4" w:space="0" w:color="auto"/>
              <w:bottom w:val="single" w:sz="4" w:space="0" w:color="auto"/>
              <w:right w:val="single" w:sz="4" w:space="0" w:color="auto"/>
            </w:tcBorders>
            <w:shd w:val="clear" w:color="auto" w:fill="auto"/>
            <w:noWrap/>
            <w:vAlign w:val="center"/>
            <w:hideMark/>
          </w:tcPr>
          <w:p w14:paraId="71836BEA" w14:textId="77777777" w:rsidR="00C71A2A" w:rsidRPr="00C71A2A" w:rsidRDefault="00C71A2A" w:rsidP="00C71A2A">
            <w:pPr>
              <w:jc w:val="center"/>
              <w:rPr>
                <w:color w:val="000000"/>
                <w:sz w:val="22"/>
              </w:rPr>
            </w:pPr>
            <w:r w:rsidRPr="00C71A2A">
              <w:rPr>
                <w:color w:val="000000"/>
                <w:sz w:val="22"/>
              </w:rPr>
              <w:t>2012</w:t>
            </w:r>
          </w:p>
        </w:tc>
        <w:tc>
          <w:tcPr>
            <w:tcW w:w="1871" w:type="dxa"/>
            <w:tcBorders>
              <w:top w:val="nil"/>
              <w:left w:val="nil"/>
              <w:bottom w:val="single" w:sz="4" w:space="0" w:color="auto"/>
              <w:right w:val="single" w:sz="4" w:space="0" w:color="auto"/>
            </w:tcBorders>
            <w:shd w:val="clear" w:color="auto" w:fill="auto"/>
            <w:noWrap/>
            <w:vAlign w:val="center"/>
            <w:hideMark/>
          </w:tcPr>
          <w:p w14:paraId="59CFF1B5" w14:textId="5EDD3968" w:rsidR="00C71A2A" w:rsidRPr="00C71A2A" w:rsidRDefault="00C71A2A" w:rsidP="00C71A2A">
            <w:pPr>
              <w:jc w:val="center"/>
              <w:rPr>
                <w:color w:val="000000"/>
                <w:sz w:val="22"/>
              </w:rPr>
            </w:pPr>
            <w:r w:rsidRPr="00C71A2A">
              <w:rPr>
                <w:sz w:val="22"/>
              </w:rPr>
              <w:t>4,800</w:t>
            </w:r>
          </w:p>
        </w:tc>
        <w:tc>
          <w:tcPr>
            <w:tcW w:w="1871" w:type="dxa"/>
            <w:tcBorders>
              <w:top w:val="nil"/>
              <w:left w:val="nil"/>
              <w:bottom w:val="single" w:sz="4" w:space="0" w:color="auto"/>
              <w:right w:val="single" w:sz="4" w:space="0" w:color="auto"/>
            </w:tcBorders>
            <w:shd w:val="clear" w:color="auto" w:fill="auto"/>
            <w:noWrap/>
            <w:vAlign w:val="center"/>
            <w:hideMark/>
          </w:tcPr>
          <w:p w14:paraId="197896C8" w14:textId="07AD6068" w:rsidR="00C71A2A" w:rsidRPr="00C71A2A" w:rsidRDefault="00C71A2A" w:rsidP="00C71A2A">
            <w:pPr>
              <w:jc w:val="center"/>
              <w:rPr>
                <w:color w:val="000000"/>
                <w:sz w:val="22"/>
              </w:rPr>
            </w:pPr>
            <w:r w:rsidRPr="00C71A2A">
              <w:rPr>
                <w:sz w:val="22"/>
              </w:rPr>
              <w:t>4,400</w:t>
            </w:r>
          </w:p>
        </w:tc>
        <w:tc>
          <w:tcPr>
            <w:tcW w:w="1871" w:type="dxa"/>
            <w:tcBorders>
              <w:top w:val="single" w:sz="4" w:space="0" w:color="auto"/>
              <w:left w:val="nil"/>
              <w:bottom w:val="single" w:sz="4" w:space="0" w:color="auto"/>
              <w:right w:val="single" w:sz="4" w:space="0" w:color="auto"/>
            </w:tcBorders>
            <w:vAlign w:val="center"/>
          </w:tcPr>
          <w:p w14:paraId="3538D4BD" w14:textId="70891CA4" w:rsidR="00C71A2A" w:rsidRPr="00C71A2A" w:rsidRDefault="00F36C4E" w:rsidP="00C71A2A">
            <w:pPr>
              <w:jc w:val="center"/>
              <w:rPr>
                <w:sz w:val="22"/>
              </w:rPr>
            </w:pPr>
            <w:r>
              <w:rPr>
                <w:sz w:val="22"/>
              </w:rPr>
              <w:t>430</w:t>
            </w:r>
          </w:p>
        </w:tc>
        <w:tc>
          <w:tcPr>
            <w:tcW w:w="1871" w:type="dxa"/>
            <w:tcBorders>
              <w:top w:val="nil"/>
              <w:left w:val="single" w:sz="4" w:space="0" w:color="auto"/>
              <w:bottom w:val="single" w:sz="4" w:space="0" w:color="auto"/>
              <w:right w:val="single" w:sz="4" w:space="0" w:color="auto"/>
            </w:tcBorders>
            <w:vAlign w:val="center"/>
          </w:tcPr>
          <w:p w14:paraId="423D2AF5" w14:textId="50912F3C" w:rsidR="00C71A2A" w:rsidRPr="00C71A2A" w:rsidRDefault="00C71A2A" w:rsidP="00C71A2A">
            <w:pPr>
              <w:jc w:val="center"/>
              <w:rPr>
                <w:color w:val="000000"/>
                <w:sz w:val="22"/>
              </w:rPr>
            </w:pPr>
            <w:r w:rsidRPr="00C71A2A">
              <w:rPr>
                <w:sz w:val="22"/>
              </w:rPr>
              <w:t>9%</w:t>
            </w:r>
          </w:p>
        </w:tc>
      </w:tr>
      <w:tr w:rsidR="00C71A2A" w:rsidRPr="004F757C" w14:paraId="1B960744" w14:textId="77777777" w:rsidTr="00972977">
        <w:trPr>
          <w:trHeight w:val="288"/>
        </w:trPr>
        <w:tc>
          <w:tcPr>
            <w:tcW w:w="1871" w:type="dxa"/>
            <w:tcBorders>
              <w:top w:val="nil"/>
              <w:left w:val="single" w:sz="4" w:space="0" w:color="auto"/>
              <w:bottom w:val="single" w:sz="4" w:space="0" w:color="auto"/>
              <w:right w:val="single" w:sz="4" w:space="0" w:color="auto"/>
            </w:tcBorders>
            <w:shd w:val="clear" w:color="auto" w:fill="auto"/>
            <w:noWrap/>
            <w:vAlign w:val="center"/>
            <w:hideMark/>
          </w:tcPr>
          <w:p w14:paraId="565A485E" w14:textId="77777777" w:rsidR="00C71A2A" w:rsidRPr="00C71A2A" w:rsidRDefault="00C71A2A" w:rsidP="00C71A2A">
            <w:pPr>
              <w:jc w:val="center"/>
              <w:rPr>
                <w:color w:val="000000"/>
                <w:sz w:val="22"/>
              </w:rPr>
            </w:pPr>
            <w:r w:rsidRPr="00C71A2A">
              <w:rPr>
                <w:color w:val="000000"/>
                <w:sz w:val="22"/>
              </w:rPr>
              <w:t>2013</w:t>
            </w:r>
          </w:p>
        </w:tc>
        <w:tc>
          <w:tcPr>
            <w:tcW w:w="1871" w:type="dxa"/>
            <w:tcBorders>
              <w:top w:val="nil"/>
              <w:left w:val="nil"/>
              <w:bottom w:val="single" w:sz="4" w:space="0" w:color="auto"/>
              <w:right w:val="single" w:sz="4" w:space="0" w:color="auto"/>
            </w:tcBorders>
            <w:shd w:val="clear" w:color="auto" w:fill="auto"/>
            <w:noWrap/>
            <w:vAlign w:val="center"/>
            <w:hideMark/>
          </w:tcPr>
          <w:p w14:paraId="6097107E" w14:textId="3161CFE4" w:rsidR="00C71A2A" w:rsidRPr="00C71A2A" w:rsidRDefault="00C71A2A" w:rsidP="00C71A2A">
            <w:pPr>
              <w:jc w:val="center"/>
              <w:rPr>
                <w:color w:val="000000"/>
                <w:sz w:val="22"/>
              </w:rPr>
            </w:pPr>
            <w:r w:rsidRPr="00C71A2A">
              <w:rPr>
                <w:sz w:val="22"/>
              </w:rPr>
              <w:t>4,800</w:t>
            </w:r>
          </w:p>
        </w:tc>
        <w:tc>
          <w:tcPr>
            <w:tcW w:w="1871" w:type="dxa"/>
            <w:tcBorders>
              <w:top w:val="nil"/>
              <w:left w:val="nil"/>
              <w:bottom w:val="single" w:sz="4" w:space="0" w:color="auto"/>
              <w:right w:val="single" w:sz="4" w:space="0" w:color="auto"/>
            </w:tcBorders>
            <w:shd w:val="clear" w:color="auto" w:fill="auto"/>
            <w:noWrap/>
            <w:vAlign w:val="center"/>
            <w:hideMark/>
          </w:tcPr>
          <w:p w14:paraId="1E60A384" w14:textId="5F4C9101" w:rsidR="00C71A2A" w:rsidRPr="00C71A2A" w:rsidRDefault="00C71A2A" w:rsidP="00C71A2A">
            <w:pPr>
              <w:jc w:val="center"/>
              <w:rPr>
                <w:color w:val="000000"/>
                <w:sz w:val="22"/>
              </w:rPr>
            </w:pPr>
            <w:r w:rsidRPr="00C71A2A">
              <w:rPr>
                <w:sz w:val="22"/>
              </w:rPr>
              <w:t>4,400</w:t>
            </w:r>
          </w:p>
        </w:tc>
        <w:tc>
          <w:tcPr>
            <w:tcW w:w="1871" w:type="dxa"/>
            <w:tcBorders>
              <w:top w:val="single" w:sz="4" w:space="0" w:color="auto"/>
              <w:left w:val="nil"/>
              <w:bottom w:val="single" w:sz="4" w:space="0" w:color="auto"/>
              <w:right w:val="single" w:sz="4" w:space="0" w:color="auto"/>
            </w:tcBorders>
            <w:vAlign w:val="center"/>
          </w:tcPr>
          <w:p w14:paraId="7FFEAD53" w14:textId="571CB9EF" w:rsidR="00C71A2A" w:rsidRPr="00C71A2A" w:rsidRDefault="00F36C4E" w:rsidP="00C71A2A">
            <w:pPr>
              <w:jc w:val="center"/>
              <w:rPr>
                <w:sz w:val="22"/>
              </w:rPr>
            </w:pPr>
            <w:r>
              <w:rPr>
                <w:sz w:val="22"/>
              </w:rPr>
              <w:t>420</w:t>
            </w:r>
          </w:p>
        </w:tc>
        <w:tc>
          <w:tcPr>
            <w:tcW w:w="1871" w:type="dxa"/>
            <w:tcBorders>
              <w:top w:val="nil"/>
              <w:left w:val="single" w:sz="4" w:space="0" w:color="auto"/>
              <w:bottom w:val="single" w:sz="4" w:space="0" w:color="auto"/>
              <w:right w:val="single" w:sz="4" w:space="0" w:color="auto"/>
            </w:tcBorders>
            <w:vAlign w:val="center"/>
          </w:tcPr>
          <w:p w14:paraId="7C6DCE73" w14:textId="2D1CFEFC" w:rsidR="00C71A2A" w:rsidRPr="00C71A2A" w:rsidRDefault="00C71A2A" w:rsidP="00C71A2A">
            <w:pPr>
              <w:jc w:val="center"/>
              <w:rPr>
                <w:color w:val="000000"/>
                <w:sz w:val="22"/>
              </w:rPr>
            </w:pPr>
            <w:r w:rsidRPr="00C71A2A">
              <w:rPr>
                <w:sz w:val="22"/>
              </w:rPr>
              <w:t>9%</w:t>
            </w:r>
          </w:p>
        </w:tc>
      </w:tr>
      <w:tr w:rsidR="00C71A2A" w:rsidRPr="004F757C" w14:paraId="1EF9A5C3" w14:textId="77777777" w:rsidTr="00972977">
        <w:trPr>
          <w:trHeight w:val="288"/>
        </w:trPr>
        <w:tc>
          <w:tcPr>
            <w:tcW w:w="1871" w:type="dxa"/>
            <w:tcBorders>
              <w:top w:val="nil"/>
              <w:left w:val="single" w:sz="4" w:space="0" w:color="auto"/>
              <w:bottom w:val="single" w:sz="4" w:space="0" w:color="auto"/>
              <w:right w:val="single" w:sz="4" w:space="0" w:color="auto"/>
            </w:tcBorders>
            <w:shd w:val="clear" w:color="auto" w:fill="auto"/>
            <w:noWrap/>
            <w:vAlign w:val="center"/>
            <w:hideMark/>
          </w:tcPr>
          <w:p w14:paraId="65A18E59" w14:textId="77777777" w:rsidR="00C71A2A" w:rsidRPr="00C71A2A" w:rsidRDefault="00C71A2A" w:rsidP="00C71A2A">
            <w:pPr>
              <w:jc w:val="center"/>
              <w:rPr>
                <w:color w:val="000000"/>
                <w:sz w:val="22"/>
              </w:rPr>
            </w:pPr>
            <w:r w:rsidRPr="00C71A2A">
              <w:rPr>
                <w:color w:val="000000"/>
                <w:sz w:val="22"/>
              </w:rPr>
              <w:t>2014</w:t>
            </w:r>
          </w:p>
        </w:tc>
        <w:tc>
          <w:tcPr>
            <w:tcW w:w="1871" w:type="dxa"/>
            <w:tcBorders>
              <w:top w:val="nil"/>
              <w:left w:val="nil"/>
              <w:bottom w:val="single" w:sz="4" w:space="0" w:color="auto"/>
              <w:right w:val="single" w:sz="4" w:space="0" w:color="auto"/>
            </w:tcBorders>
            <w:shd w:val="clear" w:color="auto" w:fill="auto"/>
            <w:noWrap/>
            <w:vAlign w:val="center"/>
            <w:hideMark/>
          </w:tcPr>
          <w:p w14:paraId="01DED396" w14:textId="55413CB2" w:rsidR="00C71A2A" w:rsidRPr="00C71A2A" w:rsidRDefault="00C71A2A" w:rsidP="00C71A2A">
            <w:pPr>
              <w:jc w:val="center"/>
              <w:rPr>
                <w:color w:val="000000"/>
                <w:sz w:val="22"/>
              </w:rPr>
            </w:pPr>
            <w:r w:rsidRPr="00C71A2A">
              <w:rPr>
                <w:sz w:val="22"/>
              </w:rPr>
              <w:t>9,600</w:t>
            </w:r>
          </w:p>
        </w:tc>
        <w:tc>
          <w:tcPr>
            <w:tcW w:w="1871" w:type="dxa"/>
            <w:tcBorders>
              <w:top w:val="nil"/>
              <w:left w:val="nil"/>
              <w:bottom w:val="single" w:sz="4" w:space="0" w:color="auto"/>
              <w:right w:val="single" w:sz="4" w:space="0" w:color="auto"/>
            </w:tcBorders>
            <w:shd w:val="clear" w:color="auto" w:fill="auto"/>
            <w:noWrap/>
            <w:vAlign w:val="center"/>
            <w:hideMark/>
          </w:tcPr>
          <w:p w14:paraId="5C67E081" w14:textId="360EB793" w:rsidR="00C71A2A" w:rsidRPr="00C71A2A" w:rsidRDefault="00C71A2A" w:rsidP="00C71A2A">
            <w:pPr>
              <w:jc w:val="center"/>
              <w:rPr>
                <w:color w:val="000000"/>
                <w:sz w:val="22"/>
              </w:rPr>
            </w:pPr>
            <w:r w:rsidRPr="00C71A2A">
              <w:rPr>
                <w:sz w:val="22"/>
              </w:rPr>
              <w:t>8,500</w:t>
            </w:r>
          </w:p>
        </w:tc>
        <w:tc>
          <w:tcPr>
            <w:tcW w:w="1871" w:type="dxa"/>
            <w:tcBorders>
              <w:top w:val="single" w:sz="4" w:space="0" w:color="auto"/>
              <w:left w:val="nil"/>
              <w:bottom w:val="single" w:sz="4" w:space="0" w:color="auto"/>
              <w:right w:val="single" w:sz="4" w:space="0" w:color="auto"/>
            </w:tcBorders>
            <w:vAlign w:val="center"/>
          </w:tcPr>
          <w:p w14:paraId="4F7F12A3" w14:textId="6DA5660E" w:rsidR="00C71A2A" w:rsidRPr="00C71A2A" w:rsidRDefault="00C71A2A" w:rsidP="00C71A2A">
            <w:pPr>
              <w:jc w:val="center"/>
              <w:rPr>
                <w:sz w:val="22"/>
              </w:rPr>
            </w:pPr>
            <w:r w:rsidRPr="00C71A2A">
              <w:rPr>
                <w:sz w:val="22"/>
              </w:rPr>
              <w:t>1,100</w:t>
            </w:r>
          </w:p>
        </w:tc>
        <w:tc>
          <w:tcPr>
            <w:tcW w:w="1871" w:type="dxa"/>
            <w:tcBorders>
              <w:top w:val="nil"/>
              <w:left w:val="single" w:sz="4" w:space="0" w:color="auto"/>
              <w:bottom w:val="single" w:sz="4" w:space="0" w:color="auto"/>
              <w:right w:val="single" w:sz="4" w:space="0" w:color="auto"/>
            </w:tcBorders>
            <w:vAlign w:val="center"/>
          </w:tcPr>
          <w:p w14:paraId="181CABDB" w14:textId="780DEF4D" w:rsidR="00C71A2A" w:rsidRPr="00C71A2A" w:rsidRDefault="00C71A2A" w:rsidP="00C71A2A">
            <w:pPr>
              <w:jc w:val="center"/>
              <w:rPr>
                <w:color w:val="000000"/>
                <w:sz w:val="22"/>
              </w:rPr>
            </w:pPr>
            <w:r w:rsidRPr="00C71A2A">
              <w:rPr>
                <w:sz w:val="22"/>
              </w:rPr>
              <w:t>12%</w:t>
            </w:r>
          </w:p>
        </w:tc>
      </w:tr>
      <w:tr w:rsidR="00C71A2A" w:rsidRPr="004F757C" w14:paraId="2740500F" w14:textId="77777777" w:rsidTr="00972977">
        <w:trPr>
          <w:trHeight w:val="288"/>
        </w:trPr>
        <w:tc>
          <w:tcPr>
            <w:tcW w:w="1871" w:type="dxa"/>
            <w:tcBorders>
              <w:top w:val="nil"/>
              <w:left w:val="single" w:sz="4" w:space="0" w:color="auto"/>
              <w:bottom w:val="single" w:sz="4" w:space="0" w:color="auto"/>
              <w:right w:val="single" w:sz="4" w:space="0" w:color="auto"/>
            </w:tcBorders>
            <w:shd w:val="clear" w:color="auto" w:fill="auto"/>
            <w:noWrap/>
            <w:vAlign w:val="center"/>
            <w:hideMark/>
          </w:tcPr>
          <w:p w14:paraId="6A58DBF7" w14:textId="77777777" w:rsidR="00C71A2A" w:rsidRPr="00C71A2A" w:rsidRDefault="00C71A2A" w:rsidP="00C71A2A">
            <w:pPr>
              <w:jc w:val="center"/>
              <w:rPr>
                <w:color w:val="000000"/>
                <w:sz w:val="22"/>
              </w:rPr>
            </w:pPr>
            <w:r w:rsidRPr="00C71A2A">
              <w:rPr>
                <w:color w:val="000000"/>
                <w:sz w:val="22"/>
              </w:rPr>
              <w:t>2015</w:t>
            </w:r>
          </w:p>
        </w:tc>
        <w:tc>
          <w:tcPr>
            <w:tcW w:w="1871" w:type="dxa"/>
            <w:tcBorders>
              <w:top w:val="nil"/>
              <w:left w:val="nil"/>
              <w:bottom w:val="single" w:sz="4" w:space="0" w:color="auto"/>
              <w:right w:val="single" w:sz="4" w:space="0" w:color="auto"/>
            </w:tcBorders>
            <w:shd w:val="clear" w:color="auto" w:fill="auto"/>
            <w:noWrap/>
            <w:vAlign w:val="center"/>
            <w:hideMark/>
          </w:tcPr>
          <w:p w14:paraId="6DFB806C" w14:textId="75C90E7D" w:rsidR="00C71A2A" w:rsidRPr="00C71A2A" w:rsidRDefault="00C71A2A" w:rsidP="00C71A2A">
            <w:pPr>
              <w:jc w:val="center"/>
              <w:rPr>
                <w:color w:val="000000"/>
                <w:sz w:val="22"/>
              </w:rPr>
            </w:pPr>
            <w:r w:rsidRPr="00C71A2A">
              <w:rPr>
                <w:sz w:val="22"/>
              </w:rPr>
              <w:t>9,600</w:t>
            </w:r>
          </w:p>
        </w:tc>
        <w:tc>
          <w:tcPr>
            <w:tcW w:w="1871" w:type="dxa"/>
            <w:tcBorders>
              <w:top w:val="nil"/>
              <w:left w:val="nil"/>
              <w:bottom w:val="single" w:sz="4" w:space="0" w:color="auto"/>
              <w:right w:val="single" w:sz="4" w:space="0" w:color="auto"/>
            </w:tcBorders>
            <w:shd w:val="clear" w:color="auto" w:fill="auto"/>
            <w:noWrap/>
            <w:vAlign w:val="center"/>
            <w:hideMark/>
          </w:tcPr>
          <w:p w14:paraId="647AAC70" w14:textId="03F35000" w:rsidR="00C71A2A" w:rsidRPr="00C71A2A" w:rsidRDefault="00C71A2A" w:rsidP="00C71A2A">
            <w:pPr>
              <w:jc w:val="center"/>
              <w:rPr>
                <w:color w:val="000000"/>
                <w:sz w:val="22"/>
              </w:rPr>
            </w:pPr>
            <w:r w:rsidRPr="00C71A2A">
              <w:rPr>
                <w:sz w:val="22"/>
              </w:rPr>
              <w:t>9,200</w:t>
            </w:r>
          </w:p>
        </w:tc>
        <w:tc>
          <w:tcPr>
            <w:tcW w:w="1871" w:type="dxa"/>
            <w:tcBorders>
              <w:top w:val="single" w:sz="4" w:space="0" w:color="auto"/>
              <w:left w:val="nil"/>
              <w:bottom w:val="single" w:sz="4" w:space="0" w:color="auto"/>
              <w:right w:val="single" w:sz="4" w:space="0" w:color="auto"/>
            </w:tcBorders>
            <w:vAlign w:val="center"/>
          </w:tcPr>
          <w:p w14:paraId="28050557" w14:textId="0415F77F" w:rsidR="00C71A2A" w:rsidRPr="00C71A2A" w:rsidRDefault="00F36C4E" w:rsidP="00C71A2A">
            <w:pPr>
              <w:jc w:val="center"/>
              <w:rPr>
                <w:sz w:val="22"/>
              </w:rPr>
            </w:pPr>
            <w:r>
              <w:rPr>
                <w:sz w:val="22"/>
              </w:rPr>
              <w:t>370</w:t>
            </w:r>
          </w:p>
        </w:tc>
        <w:tc>
          <w:tcPr>
            <w:tcW w:w="1871" w:type="dxa"/>
            <w:tcBorders>
              <w:top w:val="nil"/>
              <w:left w:val="single" w:sz="4" w:space="0" w:color="auto"/>
              <w:bottom w:val="single" w:sz="4" w:space="0" w:color="auto"/>
              <w:right w:val="single" w:sz="4" w:space="0" w:color="auto"/>
            </w:tcBorders>
            <w:vAlign w:val="center"/>
          </w:tcPr>
          <w:p w14:paraId="5136329B" w14:textId="41CF8136" w:rsidR="00C71A2A" w:rsidRPr="00C71A2A" w:rsidRDefault="00C71A2A" w:rsidP="00C71A2A">
            <w:pPr>
              <w:jc w:val="center"/>
              <w:rPr>
                <w:color w:val="000000"/>
                <w:sz w:val="22"/>
              </w:rPr>
            </w:pPr>
            <w:r w:rsidRPr="00C71A2A">
              <w:rPr>
                <w:sz w:val="22"/>
              </w:rPr>
              <w:t>4%</w:t>
            </w:r>
          </w:p>
        </w:tc>
      </w:tr>
      <w:tr w:rsidR="00C71A2A" w:rsidRPr="004F757C" w14:paraId="5CC5DCD2" w14:textId="77777777" w:rsidTr="00972977">
        <w:trPr>
          <w:trHeight w:val="288"/>
        </w:trPr>
        <w:tc>
          <w:tcPr>
            <w:tcW w:w="1871" w:type="dxa"/>
            <w:tcBorders>
              <w:top w:val="nil"/>
              <w:left w:val="single" w:sz="4" w:space="0" w:color="auto"/>
              <w:bottom w:val="single" w:sz="4" w:space="0" w:color="auto"/>
              <w:right w:val="single" w:sz="4" w:space="0" w:color="auto"/>
            </w:tcBorders>
            <w:shd w:val="clear" w:color="auto" w:fill="auto"/>
            <w:noWrap/>
            <w:vAlign w:val="center"/>
            <w:hideMark/>
          </w:tcPr>
          <w:p w14:paraId="694C0A91" w14:textId="77777777" w:rsidR="00C71A2A" w:rsidRPr="00C71A2A" w:rsidRDefault="00C71A2A" w:rsidP="00C71A2A">
            <w:pPr>
              <w:jc w:val="center"/>
              <w:rPr>
                <w:color w:val="000000"/>
                <w:sz w:val="22"/>
              </w:rPr>
            </w:pPr>
            <w:r w:rsidRPr="00C71A2A">
              <w:rPr>
                <w:color w:val="000000"/>
                <w:sz w:val="22"/>
              </w:rPr>
              <w:t>2016</w:t>
            </w:r>
          </w:p>
        </w:tc>
        <w:tc>
          <w:tcPr>
            <w:tcW w:w="1871" w:type="dxa"/>
            <w:tcBorders>
              <w:top w:val="nil"/>
              <w:left w:val="nil"/>
              <w:bottom w:val="single" w:sz="4" w:space="0" w:color="auto"/>
              <w:right w:val="single" w:sz="4" w:space="0" w:color="auto"/>
            </w:tcBorders>
            <w:shd w:val="clear" w:color="auto" w:fill="auto"/>
            <w:noWrap/>
            <w:vAlign w:val="center"/>
            <w:hideMark/>
          </w:tcPr>
          <w:p w14:paraId="253E4295" w14:textId="2C3B9E12" w:rsidR="00C71A2A" w:rsidRPr="00C71A2A" w:rsidRDefault="00C71A2A" w:rsidP="00C71A2A">
            <w:pPr>
              <w:jc w:val="center"/>
              <w:rPr>
                <w:color w:val="000000"/>
                <w:sz w:val="22"/>
              </w:rPr>
            </w:pPr>
            <w:r w:rsidRPr="00C71A2A">
              <w:rPr>
                <w:sz w:val="22"/>
              </w:rPr>
              <w:t>4,800</w:t>
            </w:r>
          </w:p>
        </w:tc>
        <w:tc>
          <w:tcPr>
            <w:tcW w:w="1871" w:type="dxa"/>
            <w:tcBorders>
              <w:top w:val="nil"/>
              <w:left w:val="nil"/>
              <w:bottom w:val="single" w:sz="4" w:space="0" w:color="auto"/>
              <w:right w:val="single" w:sz="4" w:space="0" w:color="auto"/>
            </w:tcBorders>
            <w:shd w:val="clear" w:color="auto" w:fill="auto"/>
            <w:noWrap/>
            <w:vAlign w:val="center"/>
            <w:hideMark/>
          </w:tcPr>
          <w:p w14:paraId="608D02CD" w14:textId="5EB38845" w:rsidR="00C71A2A" w:rsidRPr="00C71A2A" w:rsidRDefault="00C71A2A" w:rsidP="00C71A2A">
            <w:pPr>
              <w:jc w:val="center"/>
              <w:rPr>
                <w:color w:val="000000"/>
                <w:sz w:val="22"/>
              </w:rPr>
            </w:pPr>
            <w:r w:rsidRPr="00C71A2A">
              <w:rPr>
                <w:sz w:val="22"/>
              </w:rPr>
              <w:t>4,100</w:t>
            </w:r>
          </w:p>
        </w:tc>
        <w:tc>
          <w:tcPr>
            <w:tcW w:w="1871" w:type="dxa"/>
            <w:tcBorders>
              <w:top w:val="single" w:sz="4" w:space="0" w:color="auto"/>
              <w:left w:val="nil"/>
              <w:bottom w:val="single" w:sz="4" w:space="0" w:color="auto"/>
              <w:right w:val="single" w:sz="4" w:space="0" w:color="auto"/>
            </w:tcBorders>
            <w:vAlign w:val="center"/>
          </w:tcPr>
          <w:p w14:paraId="22A35B96" w14:textId="59C4654E" w:rsidR="00C71A2A" w:rsidRPr="00C71A2A" w:rsidRDefault="00F36C4E" w:rsidP="00C71A2A">
            <w:pPr>
              <w:jc w:val="center"/>
              <w:rPr>
                <w:sz w:val="22"/>
              </w:rPr>
            </w:pPr>
            <w:r>
              <w:rPr>
                <w:sz w:val="22"/>
              </w:rPr>
              <w:t>670</w:t>
            </w:r>
          </w:p>
        </w:tc>
        <w:tc>
          <w:tcPr>
            <w:tcW w:w="1871" w:type="dxa"/>
            <w:tcBorders>
              <w:top w:val="nil"/>
              <w:left w:val="single" w:sz="4" w:space="0" w:color="auto"/>
              <w:bottom w:val="single" w:sz="4" w:space="0" w:color="auto"/>
              <w:right w:val="single" w:sz="4" w:space="0" w:color="auto"/>
            </w:tcBorders>
            <w:vAlign w:val="center"/>
          </w:tcPr>
          <w:p w14:paraId="1CB166EA" w14:textId="4104574C" w:rsidR="00C71A2A" w:rsidRPr="00C71A2A" w:rsidRDefault="00C71A2A" w:rsidP="00C71A2A">
            <w:pPr>
              <w:jc w:val="center"/>
              <w:rPr>
                <w:color w:val="000000"/>
                <w:sz w:val="22"/>
              </w:rPr>
            </w:pPr>
            <w:r w:rsidRPr="00C71A2A">
              <w:rPr>
                <w:sz w:val="22"/>
              </w:rPr>
              <w:t>14%</w:t>
            </w:r>
          </w:p>
        </w:tc>
      </w:tr>
      <w:tr w:rsidR="00C71A2A" w:rsidRPr="004F757C" w14:paraId="1A7AF2E5" w14:textId="77777777" w:rsidTr="00972977">
        <w:trPr>
          <w:trHeight w:val="288"/>
        </w:trPr>
        <w:tc>
          <w:tcPr>
            <w:tcW w:w="1871" w:type="dxa"/>
            <w:tcBorders>
              <w:top w:val="nil"/>
              <w:left w:val="single" w:sz="4" w:space="0" w:color="auto"/>
              <w:bottom w:val="single" w:sz="4" w:space="0" w:color="auto"/>
              <w:right w:val="single" w:sz="4" w:space="0" w:color="auto"/>
            </w:tcBorders>
            <w:shd w:val="clear" w:color="auto" w:fill="auto"/>
            <w:noWrap/>
            <w:vAlign w:val="center"/>
            <w:hideMark/>
          </w:tcPr>
          <w:p w14:paraId="2DB55EE0" w14:textId="77777777" w:rsidR="00C71A2A" w:rsidRPr="00C71A2A" w:rsidRDefault="00C71A2A" w:rsidP="00C71A2A">
            <w:pPr>
              <w:jc w:val="center"/>
              <w:rPr>
                <w:color w:val="000000"/>
                <w:sz w:val="22"/>
              </w:rPr>
            </w:pPr>
            <w:r w:rsidRPr="00C71A2A">
              <w:rPr>
                <w:color w:val="000000"/>
                <w:sz w:val="22"/>
              </w:rPr>
              <w:t>2017</w:t>
            </w:r>
          </w:p>
        </w:tc>
        <w:tc>
          <w:tcPr>
            <w:tcW w:w="1871" w:type="dxa"/>
            <w:tcBorders>
              <w:top w:val="nil"/>
              <w:left w:val="nil"/>
              <w:bottom w:val="single" w:sz="4" w:space="0" w:color="auto"/>
              <w:right w:val="single" w:sz="4" w:space="0" w:color="auto"/>
            </w:tcBorders>
            <w:shd w:val="clear" w:color="auto" w:fill="auto"/>
            <w:noWrap/>
            <w:vAlign w:val="center"/>
            <w:hideMark/>
          </w:tcPr>
          <w:p w14:paraId="22057126" w14:textId="3355FFB4" w:rsidR="00C71A2A" w:rsidRPr="00C71A2A" w:rsidRDefault="00C71A2A" w:rsidP="00C71A2A">
            <w:pPr>
              <w:jc w:val="center"/>
              <w:rPr>
                <w:color w:val="000000"/>
                <w:sz w:val="22"/>
              </w:rPr>
            </w:pPr>
            <w:r w:rsidRPr="00C71A2A">
              <w:rPr>
                <w:sz w:val="22"/>
              </w:rPr>
              <w:t>9,600</w:t>
            </w:r>
          </w:p>
        </w:tc>
        <w:tc>
          <w:tcPr>
            <w:tcW w:w="1871" w:type="dxa"/>
            <w:tcBorders>
              <w:top w:val="nil"/>
              <w:left w:val="nil"/>
              <w:bottom w:val="single" w:sz="4" w:space="0" w:color="auto"/>
              <w:right w:val="single" w:sz="4" w:space="0" w:color="auto"/>
            </w:tcBorders>
            <w:shd w:val="clear" w:color="auto" w:fill="auto"/>
            <w:noWrap/>
            <w:vAlign w:val="center"/>
            <w:hideMark/>
          </w:tcPr>
          <w:p w14:paraId="45D27401" w14:textId="6D79B4AF" w:rsidR="00C71A2A" w:rsidRPr="00C71A2A" w:rsidRDefault="00C71A2A" w:rsidP="00C71A2A">
            <w:pPr>
              <w:jc w:val="center"/>
              <w:rPr>
                <w:color w:val="000000"/>
                <w:sz w:val="22"/>
              </w:rPr>
            </w:pPr>
            <w:r w:rsidRPr="00C71A2A">
              <w:rPr>
                <w:sz w:val="22"/>
              </w:rPr>
              <w:t>8,900</w:t>
            </w:r>
          </w:p>
        </w:tc>
        <w:tc>
          <w:tcPr>
            <w:tcW w:w="1871" w:type="dxa"/>
            <w:tcBorders>
              <w:top w:val="single" w:sz="4" w:space="0" w:color="auto"/>
              <w:left w:val="nil"/>
              <w:bottom w:val="single" w:sz="4" w:space="0" w:color="auto"/>
              <w:right w:val="single" w:sz="4" w:space="0" w:color="auto"/>
            </w:tcBorders>
            <w:vAlign w:val="center"/>
          </w:tcPr>
          <w:p w14:paraId="62A855CA" w14:textId="5E6F3494" w:rsidR="00C71A2A" w:rsidRPr="00C71A2A" w:rsidRDefault="00F36C4E" w:rsidP="00C71A2A">
            <w:pPr>
              <w:jc w:val="center"/>
              <w:rPr>
                <w:sz w:val="22"/>
              </w:rPr>
            </w:pPr>
            <w:r>
              <w:rPr>
                <w:sz w:val="22"/>
              </w:rPr>
              <w:t>730</w:t>
            </w:r>
          </w:p>
        </w:tc>
        <w:tc>
          <w:tcPr>
            <w:tcW w:w="1871" w:type="dxa"/>
            <w:tcBorders>
              <w:top w:val="nil"/>
              <w:left w:val="single" w:sz="4" w:space="0" w:color="auto"/>
              <w:bottom w:val="single" w:sz="4" w:space="0" w:color="auto"/>
              <w:right w:val="single" w:sz="4" w:space="0" w:color="auto"/>
            </w:tcBorders>
            <w:vAlign w:val="center"/>
          </w:tcPr>
          <w:p w14:paraId="35B922DB" w14:textId="269D3C33" w:rsidR="00C71A2A" w:rsidRPr="00C71A2A" w:rsidRDefault="00C71A2A" w:rsidP="00C71A2A">
            <w:pPr>
              <w:jc w:val="center"/>
              <w:rPr>
                <w:color w:val="000000"/>
                <w:sz w:val="22"/>
              </w:rPr>
            </w:pPr>
            <w:r w:rsidRPr="00C71A2A">
              <w:rPr>
                <w:sz w:val="22"/>
              </w:rPr>
              <w:t>8%</w:t>
            </w:r>
          </w:p>
        </w:tc>
      </w:tr>
      <w:tr w:rsidR="00C71A2A" w:rsidRPr="004F757C" w14:paraId="26683E60" w14:textId="77777777" w:rsidTr="00972977">
        <w:trPr>
          <w:trHeight w:val="288"/>
        </w:trPr>
        <w:tc>
          <w:tcPr>
            <w:tcW w:w="1871" w:type="dxa"/>
            <w:tcBorders>
              <w:top w:val="nil"/>
              <w:left w:val="single" w:sz="4" w:space="0" w:color="auto"/>
              <w:bottom w:val="single" w:sz="4" w:space="0" w:color="auto"/>
              <w:right w:val="single" w:sz="4" w:space="0" w:color="auto"/>
            </w:tcBorders>
            <w:shd w:val="clear" w:color="auto" w:fill="auto"/>
            <w:noWrap/>
            <w:vAlign w:val="center"/>
          </w:tcPr>
          <w:p w14:paraId="0B68DF2B" w14:textId="6FC0B362" w:rsidR="00C71A2A" w:rsidRPr="00C71A2A" w:rsidRDefault="00C71A2A" w:rsidP="00C71A2A">
            <w:pPr>
              <w:jc w:val="center"/>
              <w:rPr>
                <w:color w:val="000000"/>
                <w:sz w:val="22"/>
              </w:rPr>
            </w:pPr>
            <w:r w:rsidRPr="00C71A2A">
              <w:rPr>
                <w:color w:val="000000"/>
                <w:sz w:val="22"/>
              </w:rPr>
              <w:t>2018</w:t>
            </w:r>
          </w:p>
        </w:tc>
        <w:tc>
          <w:tcPr>
            <w:tcW w:w="1871" w:type="dxa"/>
            <w:tcBorders>
              <w:top w:val="nil"/>
              <w:left w:val="nil"/>
              <w:bottom w:val="single" w:sz="4" w:space="0" w:color="auto"/>
              <w:right w:val="single" w:sz="4" w:space="0" w:color="auto"/>
            </w:tcBorders>
            <w:shd w:val="clear" w:color="auto" w:fill="auto"/>
            <w:noWrap/>
            <w:vAlign w:val="center"/>
          </w:tcPr>
          <w:p w14:paraId="51463AAE" w14:textId="22801DAF" w:rsidR="00C71A2A" w:rsidRPr="00C71A2A" w:rsidRDefault="00C71A2A" w:rsidP="00C71A2A">
            <w:pPr>
              <w:jc w:val="center"/>
              <w:rPr>
                <w:color w:val="000000"/>
                <w:sz w:val="22"/>
              </w:rPr>
            </w:pPr>
            <w:r w:rsidRPr="00C71A2A">
              <w:rPr>
                <w:sz w:val="22"/>
              </w:rPr>
              <w:t>8,100</w:t>
            </w:r>
          </w:p>
        </w:tc>
        <w:tc>
          <w:tcPr>
            <w:tcW w:w="1871" w:type="dxa"/>
            <w:tcBorders>
              <w:top w:val="nil"/>
              <w:left w:val="nil"/>
              <w:bottom w:val="single" w:sz="4" w:space="0" w:color="auto"/>
              <w:right w:val="single" w:sz="4" w:space="0" w:color="auto"/>
            </w:tcBorders>
            <w:shd w:val="clear" w:color="auto" w:fill="auto"/>
            <w:noWrap/>
            <w:vAlign w:val="center"/>
          </w:tcPr>
          <w:p w14:paraId="0E45F8AF" w14:textId="27FF7899" w:rsidR="00C71A2A" w:rsidRPr="00C71A2A" w:rsidRDefault="00C71A2A" w:rsidP="00C71A2A">
            <w:pPr>
              <w:jc w:val="center"/>
              <w:rPr>
                <w:color w:val="000000"/>
                <w:sz w:val="22"/>
              </w:rPr>
            </w:pPr>
            <w:r w:rsidRPr="00C71A2A">
              <w:rPr>
                <w:sz w:val="22"/>
              </w:rPr>
              <w:t>6,900</w:t>
            </w:r>
          </w:p>
        </w:tc>
        <w:tc>
          <w:tcPr>
            <w:tcW w:w="1871" w:type="dxa"/>
            <w:tcBorders>
              <w:top w:val="single" w:sz="4" w:space="0" w:color="auto"/>
              <w:left w:val="nil"/>
              <w:bottom w:val="single" w:sz="4" w:space="0" w:color="auto"/>
              <w:right w:val="single" w:sz="4" w:space="0" w:color="auto"/>
            </w:tcBorders>
            <w:vAlign w:val="center"/>
          </w:tcPr>
          <w:p w14:paraId="089B9881" w14:textId="0EC25E00" w:rsidR="00C71A2A" w:rsidRPr="00C71A2A" w:rsidRDefault="00C71A2A" w:rsidP="00C71A2A">
            <w:pPr>
              <w:jc w:val="center"/>
              <w:rPr>
                <w:sz w:val="22"/>
              </w:rPr>
            </w:pPr>
            <w:r w:rsidRPr="00C71A2A">
              <w:rPr>
                <w:sz w:val="22"/>
              </w:rPr>
              <w:t>1,200</w:t>
            </w:r>
          </w:p>
        </w:tc>
        <w:tc>
          <w:tcPr>
            <w:tcW w:w="1871" w:type="dxa"/>
            <w:tcBorders>
              <w:top w:val="nil"/>
              <w:left w:val="single" w:sz="4" w:space="0" w:color="auto"/>
              <w:bottom w:val="single" w:sz="4" w:space="0" w:color="auto"/>
              <w:right w:val="single" w:sz="4" w:space="0" w:color="auto"/>
            </w:tcBorders>
            <w:vAlign w:val="center"/>
          </w:tcPr>
          <w:p w14:paraId="2D621263" w14:textId="519CE65D" w:rsidR="00C71A2A" w:rsidRPr="00C71A2A" w:rsidRDefault="00C71A2A" w:rsidP="00C71A2A">
            <w:pPr>
              <w:jc w:val="center"/>
              <w:rPr>
                <w:sz w:val="22"/>
              </w:rPr>
            </w:pPr>
            <w:r w:rsidRPr="00C71A2A">
              <w:rPr>
                <w:sz w:val="22"/>
              </w:rPr>
              <w:t>14%</w:t>
            </w:r>
          </w:p>
        </w:tc>
      </w:tr>
      <w:tr w:rsidR="00C71A2A" w:rsidRPr="004F757C" w14:paraId="4C6D2254" w14:textId="77777777" w:rsidTr="00972977">
        <w:trPr>
          <w:trHeight w:val="288"/>
        </w:trPr>
        <w:tc>
          <w:tcPr>
            <w:tcW w:w="1871" w:type="dxa"/>
            <w:tcBorders>
              <w:top w:val="nil"/>
              <w:left w:val="single" w:sz="4" w:space="0" w:color="auto"/>
              <w:bottom w:val="single" w:sz="4" w:space="0" w:color="auto"/>
              <w:right w:val="single" w:sz="4" w:space="0" w:color="auto"/>
            </w:tcBorders>
            <w:shd w:val="clear" w:color="auto" w:fill="BFBFBF" w:themeFill="background1" w:themeFillShade="BF"/>
            <w:noWrap/>
            <w:vAlign w:val="center"/>
          </w:tcPr>
          <w:p w14:paraId="79C4EBAB" w14:textId="77777777" w:rsidR="00C71A2A" w:rsidRPr="00C71A2A" w:rsidRDefault="00C71A2A" w:rsidP="00C71A2A">
            <w:pPr>
              <w:jc w:val="center"/>
              <w:rPr>
                <w:b/>
                <w:bCs/>
                <w:color w:val="000000"/>
                <w:sz w:val="22"/>
              </w:rPr>
            </w:pPr>
            <w:r w:rsidRPr="00C71A2A">
              <w:rPr>
                <w:b/>
                <w:bCs/>
                <w:color w:val="000000"/>
                <w:sz w:val="22"/>
              </w:rPr>
              <w:t>Total</w:t>
            </w:r>
          </w:p>
        </w:tc>
        <w:tc>
          <w:tcPr>
            <w:tcW w:w="1871" w:type="dxa"/>
            <w:tcBorders>
              <w:top w:val="nil"/>
              <w:left w:val="nil"/>
              <w:bottom w:val="single" w:sz="4" w:space="0" w:color="auto"/>
              <w:right w:val="single" w:sz="4" w:space="0" w:color="auto"/>
            </w:tcBorders>
            <w:shd w:val="clear" w:color="auto" w:fill="BFBFBF" w:themeFill="background1" w:themeFillShade="BF"/>
            <w:noWrap/>
            <w:vAlign w:val="center"/>
          </w:tcPr>
          <w:p w14:paraId="1291ECF8" w14:textId="71DF84DB" w:rsidR="00C71A2A" w:rsidRPr="00C71A2A" w:rsidRDefault="00C71A2A" w:rsidP="00C71A2A">
            <w:pPr>
              <w:jc w:val="center"/>
              <w:rPr>
                <w:b/>
                <w:bCs/>
                <w:color w:val="000000"/>
                <w:sz w:val="22"/>
              </w:rPr>
            </w:pPr>
            <w:r w:rsidRPr="00C71A2A">
              <w:rPr>
                <w:b/>
                <w:sz w:val="22"/>
              </w:rPr>
              <w:t>51,300</w:t>
            </w:r>
          </w:p>
        </w:tc>
        <w:tc>
          <w:tcPr>
            <w:tcW w:w="1871" w:type="dxa"/>
            <w:tcBorders>
              <w:top w:val="nil"/>
              <w:left w:val="nil"/>
              <w:bottom w:val="single" w:sz="4" w:space="0" w:color="auto"/>
              <w:right w:val="single" w:sz="4" w:space="0" w:color="auto"/>
            </w:tcBorders>
            <w:shd w:val="clear" w:color="auto" w:fill="BFBFBF" w:themeFill="background1" w:themeFillShade="BF"/>
            <w:noWrap/>
            <w:vAlign w:val="center"/>
          </w:tcPr>
          <w:p w14:paraId="033CA4AA" w14:textId="2D32A4C5" w:rsidR="00C71A2A" w:rsidRPr="00C71A2A" w:rsidRDefault="00C71A2A" w:rsidP="00C71A2A">
            <w:pPr>
              <w:jc w:val="center"/>
              <w:rPr>
                <w:b/>
                <w:bCs/>
                <w:color w:val="000000"/>
                <w:sz w:val="22"/>
              </w:rPr>
            </w:pPr>
            <w:r w:rsidRPr="00C71A2A">
              <w:rPr>
                <w:b/>
                <w:sz w:val="22"/>
              </w:rPr>
              <w:t>46,400</w:t>
            </w:r>
          </w:p>
        </w:tc>
        <w:tc>
          <w:tcPr>
            <w:tcW w:w="1871"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3EF62ACC" w14:textId="0AE7D6DC" w:rsidR="00C71A2A" w:rsidRPr="00C71A2A" w:rsidRDefault="00C71A2A" w:rsidP="00C71A2A">
            <w:pPr>
              <w:jc w:val="center"/>
              <w:rPr>
                <w:b/>
                <w:bCs/>
                <w:color w:val="000000"/>
                <w:sz w:val="22"/>
              </w:rPr>
            </w:pPr>
            <w:r w:rsidRPr="00C71A2A">
              <w:rPr>
                <w:b/>
                <w:sz w:val="22"/>
              </w:rPr>
              <w:t>4,900</w:t>
            </w:r>
          </w:p>
        </w:tc>
        <w:tc>
          <w:tcPr>
            <w:tcW w:w="1871" w:type="dxa"/>
            <w:tcBorders>
              <w:top w:val="nil"/>
              <w:left w:val="single" w:sz="4" w:space="0" w:color="auto"/>
              <w:bottom w:val="single" w:sz="4" w:space="0" w:color="auto"/>
              <w:right w:val="single" w:sz="4" w:space="0" w:color="auto"/>
            </w:tcBorders>
            <w:shd w:val="clear" w:color="auto" w:fill="BFBFBF" w:themeFill="background1" w:themeFillShade="BF"/>
            <w:vAlign w:val="center"/>
          </w:tcPr>
          <w:p w14:paraId="4885B492" w14:textId="2872D930" w:rsidR="00C71A2A" w:rsidRPr="00C71A2A" w:rsidRDefault="00C71A2A" w:rsidP="00C71A2A">
            <w:pPr>
              <w:jc w:val="center"/>
              <w:rPr>
                <w:b/>
                <w:bCs/>
                <w:color w:val="000000"/>
                <w:sz w:val="22"/>
              </w:rPr>
            </w:pPr>
            <w:r w:rsidRPr="00C71A2A">
              <w:rPr>
                <w:b/>
                <w:sz w:val="22"/>
              </w:rPr>
              <w:t>10%</w:t>
            </w:r>
          </w:p>
        </w:tc>
      </w:tr>
      <w:tr w:rsidR="00C71A2A" w:rsidRPr="004F757C" w14:paraId="543F1348" w14:textId="77777777" w:rsidTr="00972977">
        <w:trPr>
          <w:trHeight w:val="288"/>
        </w:trPr>
        <w:tc>
          <w:tcPr>
            <w:tcW w:w="1871" w:type="dxa"/>
            <w:tcBorders>
              <w:top w:val="nil"/>
              <w:left w:val="single" w:sz="4" w:space="0" w:color="auto"/>
              <w:bottom w:val="single" w:sz="4" w:space="0" w:color="auto"/>
              <w:right w:val="single" w:sz="4" w:space="0" w:color="auto"/>
            </w:tcBorders>
            <w:shd w:val="clear" w:color="auto" w:fill="BFBFBF" w:themeFill="background1" w:themeFillShade="BF"/>
            <w:noWrap/>
            <w:vAlign w:val="center"/>
            <w:hideMark/>
          </w:tcPr>
          <w:p w14:paraId="11CAC078" w14:textId="77777777" w:rsidR="00C71A2A" w:rsidRPr="00C71A2A" w:rsidRDefault="00C71A2A" w:rsidP="00C71A2A">
            <w:pPr>
              <w:jc w:val="center"/>
              <w:rPr>
                <w:b/>
                <w:bCs/>
                <w:color w:val="000000"/>
                <w:sz w:val="22"/>
              </w:rPr>
            </w:pPr>
            <w:r w:rsidRPr="00C71A2A">
              <w:rPr>
                <w:b/>
                <w:bCs/>
                <w:color w:val="000000"/>
                <w:sz w:val="22"/>
              </w:rPr>
              <w:t>Average</w:t>
            </w:r>
          </w:p>
        </w:tc>
        <w:tc>
          <w:tcPr>
            <w:tcW w:w="1871" w:type="dxa"/>
            <w:tcBorders>
              <w:top w:val="nil"/>
              <w:left w:val="nil"/>
              <w:bottom w:val="single" w:sz="4" w:space="0" w:color="auto"/>
              <w:right w:val="single" w:sz="4" w:space="0" w:color="auto"/>
            </w:tcBorders>
            <w:shd w:val="clear" w:color="auto" w:fill="BFBFBF" w:themeFill="background1" w:themeFillShade="BF"/>
            <w:noWrap/>
            <w:vAlign w:val="center"/>
            <w:hideMark/>
          </w:tcPr>
          <w:p w14:paraId="2A4667CE" w14:textId="5E405704" w:rsidR="00C71A2A" w:rsidRPr="00C71A2A" w:rsidRDefault="00C71A2A" w:rsidP="00C71A2A">
            <w:pPr>
              <w:jc w:val="center"/>
              <w:rPr>
                <w:b/>
                <w:bCs/>
                <w:color w:val="000000"/>
                <w:sz w:val="22"/>
              </w:rPr>
            </w:pPr>
            <w:r w:rsidRPr="00C71A2A">
              <w:rPr>
                <w:b/>
                <w:sz w:val="22"/>
              </w:rPr>
              <w:t>7,300</w:t>
            </w:r>
          </w:p>
        </w:tc>
        <w:tc>
          <w:tcPr>
            <w:tcW w:w="1871" w:type="dxa"/>
            <w:tcBorders>
              <w:top w:val="nil"/>
              <w:left w:val="nil"/>
              <w:bottom w:val="single" w:sz="4" w:space="0" w:color="auto"/>
              <w:right w:val="single" w:sz="4" w:space="0" w:color="auto"/>
            </w:tcBorders>
            <w:shd w:val="clear" w:color="auto" w:fill="BFBFBF" w:themeFill="background1" w:themeFillShade="BF"/>
            <w:noWrap/>
            <w:vAlign w:val="center"/>
            <w:hideMark/>
          </w:tcPr>
          <w:p w14:paraId="6A0903C1" w14:textId="5964528D" w:rsidR="00C71A2A" w:rsidRPr="00C71A2A" w:rsidRDefault="00C71A2A" w:rsidP="00C71A2A">
            <w:pPr>
              <w:jc w:val="center"/>
              <w:rPr>
                <w:b/>
                <w:bCs/>
                <w:color w:val="000000"/>
                <w:sz w:val="22"/>
              </w:rPr>
            </w:pPr>
            <w:r w:rsidRPr="00C71A2A">
              <w:rPr>
                <w:b/>
                <w:sz w:val="22"/>
              </w:rPr>
              <w:t>6,600</w:t>
            </w:r>
          </w:p>
        </w:tc>
        <w:tc>
          <w:tcPr>
            <w:tcW w:w="1871"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6D6FDCF7" w14:textId="78BFE13B" w:rsidR="00C71A2A" w:rsidRPr="00C71A2A" w:rsidRDefault="00C71A2A" w:rsidP="00C71A2A">
            <w:pPr>
              <w:jc w:val="center"/>
              <w:rPr>
                <w:b/>
                <w:bCs/>
                <w:color w:val="000000"/>
                <w:sz w:val="22"/>
              </w:rPr>
            </w:pPr>
            <w:r w:rsidRPr="00C71A2A">
              <w:rPr>
                <w:b/>
                <w:sz w:val="22"/>
              </w:rPr>
              <w:t>700</w:t>
            </w:r>
          </w:p>
        </w:tc>
        <w:tc>
          <w:tcPr>
            <w:tcW w:w="1871" w:type="dxa"/>
            <w:tcBorders>
              <w:top w:val="nil"/>
              <w:left w:val="single" w:sz="4" w:space="0" w:color="auto"/>
              <w:bottom w:val="single" w:sz="4" w:space="0" w:color="auto"/>
              <w:right w:val="single" w:sz="4" w:space="0" w:color="auto"/>
            </w:tcBorders>
            <w:shd w:val="clear" w:color="auto" w:fill="BFBFBF" w:themeFill="background1" w:themeFillShade="BF"/>
            <w:vAlign w:val="center"/>
          </w:tcPr>
          <w:p w14:paraId="76E1EC9C" w14:textId="073E9D7B" w:rsidR="00C71A2A" w:rsidRPr="00C71A2A" w:rsidRDefault="00C71A2A" w:rsidP="00C71A2A">
            <w:pPr>
              <w:jc w:val="center"/>
              <w:rPr>
                <w:b/>
                <w:bCs/>
                <w:color w:val="000000"/>
                <w:sz w:val="22"/>
              </w:rPr>
            </w:pPr>
            <w:r w:rsidRPr="00C71A2A">
              <w:rPr>
                <w:b/>
                <w:sz w:val="22"/>
              </w:rPr>
              <w:t>10%</w:t>
            </w:r>
          </w:p>
        </w:tc>
      </w:tr>
    </w:tbl>
    <w:p w14:paraId="3B1A199C" w14:textId="382C66B9" w:rsidR="003C0252" w:rsidRPr="00B556F7" w:rsidRDefault="00F36C4E" w:rsidP="004E0658">
      <w:pPr>
        <w:pStyle w:val="ListParagraph"/>
        <w:ind w:left="0"/>
        <w:rPr>
          <w:sz w:val="20"/>
          <w:szCs w:val="20"/>
        </w:rPr>
      </w:pPr>
      <w:r w:rsidRPr="00B556F7">
        <w:rPr>
          <w:sz w:val="20"/>
          <w:szCs w:val="20"/>
          <w:vertAlign w:val="superscript"/>
        </w:rPr>
        <w:t>1</w:t>
      </w:r>
      <w:r w:rsidRPr="00B556F7">
        <w:rPr>
          <w:sz w:val="20"/>
          <w:szCs w:val="20"/>
        </w:rPr>
        <w:t xml:space="preserve"> Values &gt; 1,000 rounded to nearest 100; values &lt; 1,000 rounded to nearest 10.</w:t>
      </w:r>
    </w:p>
    <w:p w14:paraId="33679368" w14:textId="77777777" w:rsidR="00F36C4E" w:rsidRDefault="00F36C4E" w:rsidP="00F36C4E">
      <w:pPr>
        <w:pStyle w:val="ListParagraph"/>
        <w:numPr>
          <w:ilvl w:val="0"/>
          <w:numId w:val="3"/>
        </w:numPr>
        <w:spacing w:before="240" w:after="240"/>
        <w:ind w:left="360"/>
        <w:rPr>
          <w:b/>
        </w:rPr>
      </w:pPr>
      <w:r>
        <w:rPr>
          <w:b/>
        </w:rPr>
        <w:t>No-Cost NCCW</w:t>
      </w:r>
    </w:p>
    <w:p w14:paraId="278EC7CA" w14:textId="77777777" w:rsidR="00F36C4E" w:rsidRDefault="00F36C4E" w:rsidP="00F36C4E">
      <w:pPr>
        <w:pStyle w:val="ListParagraph"/>
        <w:ind w:left="0"/>
        <w:rPr>
          <w:szCs w:val="24"/>
        </w:rPr>
      </w:pPr>
      <w:r w:rsidRPr="00C54014">
        <w:rPr>
          <w:szCs w:val="24"/>
        </w:rPr>
        <w:t>Net Controllable Conserved Water (NCCW) in Lake McConaughy was made available through the implementation of conservation projects in compliance with a 1992 settlement agreement between the CNPPID and the National Wildlife Federation (NWF).  The project concept was defined in the 1997 Cooperative Agreement</w:t>
      </w:r>
      <w:r>
        <w:rPr>
          <w:szCs w:val="24"/>
        </w:rPr>
        <w:t>,</w:t>
      </w:r>
      <w:r w:rsidRPr="00C54014">
        <w:rPr>
          <w:szCs w:val="24"/>
        </w:rPr>
        <w:t xml:space="preserve"> and a portion of the NCCW yield made available through U.S. Bureau of Reclamation (USBR) funding was recognized as a </w:t>
      </w:r>
      <w:r>
        <w:rPr>
          <w:szCs w:val="24"/>
        </w:rPr>
        <w:t>WAP</w:t>
      </w:r>
      <w:r w:rsidRPr="00C54014">
        <w:rPr>
          <w:szCs w:val="24"/>
        </w:rPr>
        <w:t xml:space="preserve"> project with the inception of the Program in 2007.  </w:t>
      </w:r>
    </w:p>
    <w:p w14:paraId="02E201B1" w14:textId="77777777" w:rsidR="00F36C4E" w:rsidRDefault="00F36C4E" w:rsidP="004E0658">
      <w:pPr>
        <w:pStyle w:val="ListParagraph"/>
        <w:ind w:left="0"/>
        <w:rPr>
          <w:szCs w:val="24"/>
        </w:rPr>
      </w:pPr>
    </w:p>
    <w:p w14:paraId="70020DF9" w14:textId="5407F7DA" w:rsidR="00C54014" w:rsidRPr="008F1230" w:rsidRDefault="00C54014" w:rsidP="008F1230">
      <w:pPr>
        <w:rPr>
          <w:szCs w:val="24"/>
        </w:rPr>
      </w:pPr>
      <w:r w:rsidRPr="008F1230">
        <w:rPr>
          <w:szCs w:val="24"/>
        </w:rPr>
        <w:t xml:space="preserve">The NCCW resulted from the following conservation measures implemented </w:t>
      </w:r>
      <w:r w:rsidR="002D656C">
        <w:rPr>
          <w:szCs w:val="24"/>
        </w:rPr>
        <w:t>with</w:t>
      </w:r>
      <w:r w:rsidRPr="008F1230">
        <w:rPr>
          <w:szCs w:val="24"/>
        </w:rPr>
        <w:t>in the CNPPID</w:t>
      </w:r>
      <w:r w:rsidR="002D656C">
        <w:rPr>
          <w:szCs w:val="24"/>
        </w:rPr>
        <w:t xml:space="preserve"> irrigation</w:t>
      </w:r>
      <w:r w:rsidRPr="008F1230">
        <w:rPr>
          <w:szCs w:val="24"/>
        </w:rPr>
        <w:t xml:space="preserve"> system</w:t>
      </w:r>
      <w:r w:rsidR="002D656C">
        <w:rPr>
          <w:szCs w:val="24"/>
        </w:rPr>
        <w:t>s</w:t>
      </w:r>
      <w:r w:rsidRPr="008F1230">
        <w:rPr>
          <w:szCs w:val="24"/>
        </w:rPr>
        <w:t xml:space="preserve">: </w:t>
      </w:r>
    </w:p>
    <w:p w14:paraId="19DEED6A" w14:textId="77777777" w:rsidR="00C54014" w:rsidRPr="00C54014" w:rsidRDefault="00C54014" w:rsidP="00C54014">
      <w:pPr>
        <w:pStyle w:val="ListParagraph"/>
        <w:rPr>
          <w:szCs w:val="24"/>
        </w:rPr>
      </w:pPr>
    </w:p>
    <w:p w14:paraId="1846BAFA" w14:textId="61D76098" w:rsidR="00C54014" w:rsidRPr="002D656C" w:rsidRDefault="00C54014" w:rsidP="002D656C">
      <w:pPr>
        <w:pStyle w:val="ListParagraph"/>
        <w:numPr>
          <w:ilvl w:val="0"/>
          <w:numId w:val="9"/>
        </w:numPr>
        <w:rPr>
          <w:szCs w:val="24"/>
        </w:rPr>
      </w:pPr>
      <w:r w:rsidRPr="002D656C">
        <w:rPr>
          <w:szCs w:val="24"/>
        </w:rPr>
        <w:t xml:space="preserve">Canal distribution and delivery improvements such as installation of pipelines, canal compaction, canal lining, structure automation, etc.  </w:t>
      </w:r>
    </w:p>
    <w:p w14:paraId="6C7FB686" w14:textId="019F71EA" w:rsidR="00C54014" w:rsidRPr="002D656C" w:rsidRDefault="00C54014" w:rsidP="002D656C">
      <w:pPr>
        <w:pStyle w:val="ListParagraph"/>
        <w:numPr>
          <w:ilvl w:val="0"/>
          <w:numId w:val="9"/>
        </w:numPr>
        <w:rPr>
          <w:szCs w:val="24"/>
        </w:rPr>
      </w:pPr>
      <w:r w:rsidRPr="002D656C">
        <w:rPr>
          <w:szCs w:val="24"/>
        </w:rPr>
        <w:t xml:space="preserve">On-farm efficiency improvements including installation of center pivots and flow meters, modification of irrigation schedules, etc. </w:t>
      </w:r>
    </w:p>
    <w:p w14:paraId="6B7EFB6C" w14:textId="4C116A71" w:rsidR="00C54014" w:rsidRDefault="00C54014" w:rsidP="002D656C">
      <w:pPr>
        <w:pStyle w:val="ListParagraph"/>
        <w:numPr>
          <w:ilvl w:val="0"/>
          <w:numId w:val="9"/>
        </w:numPr>
        <w:rPr>
          <w:szCs w:val="24"/>
        </w:rPr>
      </w:pPr>
      <w:r w:rsidRPr="00C54014">
        <w:rPr>
          <w:szCs w:val="24"/>
        </w:rPr>
        <w:t xml:space="preserve">Operational adjustments to Elwood Reservoir to minimize seepage losses.  </w:t>
      </w:r>
    </w:p>
    <w:p w14:paraId="047A096C" w14:textId="58C81F18" w:rsidR="00C54014" w:rsidRDefault="00C54014" w:rsidP="00C54014">
      <w:pPr>
        <w:pStyle w:val="ListParagraph"/>
        <w:ind w:left="0"/>
        <w:rPr>
          <w:szCs w:val="24"/>
        </w:rPr>
      </w:pPr>
    </w:p>
    <w:p w14:paraId="32D7DD88" w14:textId="77777777" w:rsidR="001B7F6C" w:rsidRDefault="00C54014" w:rsidP="001B7F6C">
      <w:pPr>
        <w:pStyle w:val="ListParagraph"/>
        <w:ind w:left="0"/>
        <w:rPr>
          <w:szCs w:val="24"/>
        </w:rPr>
      </w:pPr>
      <w:r w:rsidRPr="00C54014">
        <w:rPr>
          <w:szCs w:val="24"/>
        </w:rPr>
        <w:t>These measures reduced irrigation water demands downstream of Lake McConaughy.  As a result, water that would have been released from Lake McConaughy</w:t>
      </w:r>
      <w:r>
        <w:rPr>
          <w:szCs w:val="24"/>
        </w:rPr>
        <w:t xml:space="preserve"> </w:t>
      </w:r>
      <w:r w:rsidRPr="00C54014">
        <w:rPr>
          <w:szCs w:val="24"/>
        </w:rPr>
        <w:t xml:space="preserve">before the conservation measures now remains stored in the reservoir.  </w:t>
      </w:r>
    </w:p>
    <w:p w14:paraId="10AD20C7" w14:textId="77777777" w:rsidR="001B7F6C" w:rsidRDefault="001B7F6C" w:rsidP="001B7F6C">
      <w:pPr>
        <w:pStyle w:val="ListParagraph"/>
        <w:ind w:left="0"/>
        <w:rPr>
          <w:szCs w:val="24"/>
        </w:rPr>
      </w:pPr>
    </w:p>
    <w:p w14:paraId="2CB9C71D" w14:textId="546FF9B6" w:rsidR="00C54014" w:rsidRDefault="001B7F6C" w:rsidP="00C54014">
      <w:pPr>
        <w:pStyle w:val="ListParagraph"/>
        <w:ind w:left="0"/>
        <w:rPr>
          <w:szCs w:val="24"/>
        </w:rPr>
      </w:pPr>
      <w:r w:rsidRPr="00C54014">
        <w:rPr>
          <w:szCs w:val="24"/>
        </w:rPr>
        <w:t>Per Article 402 of the CNPPID’s 1998 FERC license for the Kingsley Dam Project, the volume of NCCW water resulting from conservation projects partially funded by the USBR</w:t>
      </w:r>
      <w:r>
        <w:rPr>
          <w:szCs w:val="24"/>
        </w:rPr>
        <w:t xml:space="preserve"> is </w:t>
      </w:r>
      <w:r w:rsidRPr="00C54014">
        <w:rPr>
          <w:szCs w:val="24"/>
        </w:rPr>
        <w:t>to be added to the Lake McConaughy EA each year at no cost to the Program.</w:t>
      </w:r>
      <w:r>
        <w:rPr>
          <w:szCs w:val="24"/>
        </w:rPr>
        <w:t xml:space="preserve">  This volume was consistently found to be 314 AF in successive reviews over a period of 15 years.  </w:t>
      </w:r>
      <w:r w:rsidR="00C54014" w:rsidRPr="00C54014">
        <w:rPr>
          <w:szCs w:val="24"/>
        </w:rPr>
        <w:t xml:space="preserve">Each year, the CNPPID makes a request to the </w:t>
      </w:r>
      <w:r w:rsidR="002D656C">
        <w:rPr>
          <w:szCs w:val="24"/>
        </w:rPr>
        <w:t xml:space="preserve">NDNR </w:t>
      </w:r>
      <w:r w:rsidR="00C54014" w:rsidRPr="00C54014">
        <w:rPr>
          <w:szCs w:val="24"/>
        </w:rPr>
        <w:t xml:space="preserve">to add </w:t>
      </w:r>
      <w:r>
        <w:rPr>
          <w:szCs w:val="24"/>
        </w:rPr>
        <w:t xml:space="preserve">the No-Cost </w:t>
      </w:r>
      <w:r w:rsidR="002D656C">
        <w:rPr>
          <w:szCs w:val="24"/>
        </w:rPr>
        <w:t>NCCW</w:t>
      </w:r>
      <w:r w:rsidR="00C54014" w:rsidRPr="00C54014">
        <w:rPr>
          <w:szCs w:val="24"/>
        </w:rPr>
        <w:t xml:space="preserve"> to the Lake McConaughy </w:t>
      </w:r>
      <w:r w:rsidR="002D656C">
        <w:rPr>
          <w:szCs w:val="24"/>
        </w:rPr>
        <w:t>EA</w:t>
      </w:r>
      <w:r w:rsidR="00C54014" w:rsidRPr="00C54014">
        <w:rPr>
          <w:szCs w:val="24"/>
        </w:rPr>
        <w:t xml:space="preserve"> on</w:t>
      </w:r>
      <w:r w:rsidR="002D656C">
        <w:rPr>
          <w:szCs w:val="24"/>
        </w:rPr>
        <w:t xml:space="preserve"> or about </w:t>
      </w:r>
      <w:r w:rsidR="00C54014" w:rsidRPr="00C54014">
        <w:rPr>
          <w:szCs w:val="24"/>
        </w:rPr>
        <w:t xml:space="preserve">October 1. </w:t>
      </w:r>
      <w:r>
        <w:rPr>
          <w:szCs w:val="24"/>
        </w:rPr>
        <w:t xml:space="preserve"> As shown in </w:t>
      </w:r>
      <w:r w:rsidRPr="00383D2B">
        <w:rPr>
          <w:b/>
          <w:szCs w:val="24"/>
        </w:rPr>
        <w:t xml:space="preserve">Table </w:t>
      </w:r>
      <w:r w:rsidR="00E27C8F">
        <w:rPr>
          <w:b/>
          <w:szCs w:val="24"/>
        </w:rPr>
        <w:t>11</w:t>
      </w:r>
      <w:r>
        <w:rPr>
          <w:szCs w:val="24"/>
        </w:rPr>
        <w:t xml:space="preserve">, </w:t>
      </w:r>
      <w:r w:rsidR="00C54014" w:rsidRPr="00C54014">
        <w:rPr>
          <w:szCs w:val="24"/>
        </w:rPr>
        <w:t xml:space="preserve">a yield of 314 AFY has been credited to the Lake McConaughy EA </w:t>
      </w:r>
      <w:r w:rsidR="002D656C">
        <w:rPr>
          <w:szCs w:val="24"/>
        </w:rPr>
        <w:t>in</w:t>
      </w:r>
      <w:r w:rsidR="00C54014" w:rsidRPr="00C54014">
        <w:rPr>
          <w:szCs w:val="24"/>
        </w:rPr>
        <w:t xml:space="preserve"> most years</w:t>
      </w:r>
      <w:r>
        <w:rPr>
          <w:szCs w:val="24"/>
        </w:rPr>
        <w:t xml:space="preserve"> since 2007</w:t>
      </w:r>
      <w:r w:rsidR="00C54014" w:rsidRPr="00C54014">
        <w:rPr>
          <w:szCs w:val="24"/>
        </w:rPr>
        <w:t>.</w:t>
      </w:r>
      <w:r w:rsidR="00383D2B">
        <w:rPr>
          <w:szCs w:val="24"/>
        </w:rPr>
        <w:t xml:space="preserve">  </w:t>
      </w:r>
      <w:r w:rsidR="00C16DC9">
        <w:rPr>
          <w:szCs w:val="24"/>
        </w:rPr>
        <w:t xml:space="preserve">No-Cost NCCW was not credited in 2010 and 2011 </w:t>
      </w:r>
      <w:r w:rsidR="00C16DC9">
        <w:rPr>
          <w:szCs w:val="24"/>
        </w:rPr>
        <w:lastRenderedPageBreak/>
        <w:t xml:space="preserve">because it would have been lost to account resets.  </w:t>
      </w:r>
      <w:r w:rsidR="00383D2B">
        <w:rPr>
          <w:szCs w:val="24"/>
        </w:rPr>
        <w:t xml:space="preserve">A letter from NDNR to CNPPID confirming the October 2018 credit is included in </w:t>
      </w:r>
      <w:r w:rsidR="00383D2B" w:rsidRPr="00383D2B">
        <w:rPr>
          <w:b/>
          <w:szCs w:val="24"/>
        </w:rPr>
        <w:t xml:space="preserve">Appendix </w:t>
      </w:r>
      <w:r w:rsidR="00E27C8F">
        <w:rPr>
          <w:b/>
          <w:szCs w:val="24"/>
        </w:rPr>
        <w:t>I</w:t>
      </w:r>
      <w:r w:rsidR="00383D2B">
        <w:rPr>
          <w:szCs w:val="24"/>
        </w:rPr>
        <w:t xml:space="preserve">. </w:t>
      </w:r>
      <w:r w:rsidR="00C54014" w:rsidRPr="00C54014">
        <w:rPr>
          <w:szCs w:val="24"/>
        </w:rPr>
        <w:t xml:space="preserve"> </w:t>
      </w:r>
    </w:p>
    <w:p w14:paraId="1267AD48" w14:textId="2E6F5117" w:rsidR="00150537" w:rsidRDefault="00150537" w:rsidP="004E0658">
      <w:pPr>
        <w:pStyle w:val="ListParagraph"/>
        <w:ind w:left="0"/>
        <w:rPr>
          <w:szCs w:val="24"/>
        </w:rPr>
      </w:pPr>
    </w:p>
    <w:p w14:paraId="7F86A017" w14:textId="360EFA96" w:rsidR="00150537" w:rsidRPr="00FB0421" w:rsidRDefault="00150537" w:rsidP="004E0658">
      <w:pPr>
        <w:pStyle w:val="ListParagraph"/>
        <w:ind w:left="0"/>
        <w:rPr>
          <w:sz w:val="22"/>
        </w:rPr>
      </w:pPr>
      <w:r w:rsidRPr="00FB0421">
        <w:rPr>
          <w:b/>
          <w:sz w:val="22"/>
        </w:rPr>
        <w:t>Table 1</w:t>
      </w:r>
      <w:r w:rsidR="00C62B80" w:rsidRPr="00FB0421">
        <w:rPr>
          <w:b/>
          <w:sz w:val="22"/>
        </w:rPr>
        <w:t>0</w:t>
      </w:r>
      <w:r w:rsidR="009D4FD7">
        <w:rPr>
          <w:b/>
          <w:sz w:val="22"/>
        </w:rPr>
        <w:t>.</w:t>
      </w:r>
      <w:r w:rsidRPr="00FB0421">
        <w:rPr>
          <w:b/>
          <w:sz w:val="22"/>
        </w:rPr>
        <w:t xml:space="preserve"> </w:t>
      </w:r>
      <w:r w:rsidR="00C62B80" w:rsidRPr="00FB0421">
        <w:rPr>
          <w:b/>
          <w:sz w:val="22"/>
        </w:rPr>
        <w:t xml:space="preserve">Annual No-Cost </w:t>
      </w:r>
      <w:r w:rsidRPr="00FB0421">
        <w:rPr>
          <w:b/>
          <w:sz w:val="22"/>
        </w:rPr>
        <w:t>NCCW Yield</w:t>
      </w:r>
    </w:p>
    <w:tbl>
      <w:tblPr>
        <w:tblW w:w="5305" w:type="dxa"/>
        <w:tblLook w:val="04A0" w:firstRow="1" w:lastRow="0" w:firstColumn="1" w:lastColumn="0" w:noHBand="0" w:noVBand="1"/>
      </w:tblPr>
      <w:tblGrid>
        <w:gridCol w:w="2335"/>
        <w:gridCol w:w="2970"/>
      </w:tblGrid>
      <w:tr w:rsidR="00150537" w:rsidRPr="00FB0421" w14:paraId="6BD8A250" w14:textId="77777777" w:rsidTr="00383D2B">
        <w:trPr>
          <w:trHeight w:val="576"/>
        </w:trPr>
        <w:tc>
          <w:tcPr>
            <w:tcW w:w="2335"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hideMark/>
          </w:tcPr>
          <w:p w14:paraId="6BF86FCB" w14:textId="77777777" w:rsidR="00150537" w:rsidRPr="00FB0421" w:rsidRDefault="00150537" w:rsidP="00150537">
            <w:pPr>
              <w:jc w:val="center"/>
              <w:rPr>
                <w:b/>
                <w:bCs/>
                <w:color w:val="000000"/>
                <w:sz w:val="22"/>
              </w:rPr>
            </w:pPr>
            <w:r w:rsidRPr="00FB0421">
              <w:rPr>
                <w:b/>
                <w:bCs/>
                <w:color w:val="000000"/>
                <w:sz w:val="22"/>
              </w:rPr>
              <w:t>Year</w:t>
            </w:r>
          </w:p>
        </w:tc>
        <w:tc>
          <w:tcPr>
            <w:tcW w:w="2970" w:type="dxa"/>
            <w:tcBorders>
              <w:top w:val="single" w:sz="4" w:space="0" w:color="auto"/>
              <w:left w:val="nil"/>
              <w:bottom w:val="single" w:sz="4" w:space="0" w:color="auto"/>
              <w:right w:val="single" w:sz="4" w:space="0" w:color="auto"/>
            </w:tcBorders>
            <w:shd w:val="clear" w:color="auto" w:fill="C2D69B" w:themeFill="accent3" w:themeFillTint="99"/>
            <w:vAlign w:val="bottom"/>
            <w:hideMark/>
          </w:tcPr>
          <w:p w14:paraId="34E5B582" w14:textId="77777777" w:rsidR="00150537" w:rsidRPr="00FB0421" w:rsidRDefault="00150537" w:rsidP="00150537">
            <w:pPr>
              <w:jc w:val="center"/>
              <w:rPr>
                <w:b/>
                <w:bCs/>
                <w:color w:val="000000"/>
                <w:sz w:val="22"/>
              </w:rPr>
            </w:pPr>
            <w:r w:rsidRPr="00FB0421">
              <w:rPr>
                <w:b/>
                <w:bCs/>
                <w:color w:val="000000"/>
                <w:sz w:val="22"/>
              </w:rPr>
              <w:t xml:space="preserve">Project Yield Credited to Lake McConaughy EA </w:t>
            </w:r>
          </w:p>
          <w:p w14:paraId="6B711251" w14:textId="77777777" w:rsidR="00150537" w:rsidRPr="00FB0421" w:rsidRDefault="00150537" w:rsidP="00150537">
            <w:pPr>
              <w:jc w:val="center"/>
              <w:rPr>
                <w:b/>
                <w:bCs/>
                <w:color w:val="000000"/>
                <w:sz w:val="22"/>
              </w:rPr>
            </w:pPr>
            <w:r w:rsidRPr="00FB0421">
              <w:rPr>
                <w:b/>
                <w:bCs/>
                <w:color w:val="000000"/>
                <w:sz w:val="22"/>
              </w:rPr>
              <w:t>(AF)</w:t>
            </w:r>
          </w:p>
        </w:tc>
      </w:tr>
      <w:tr w:rsidR="00150537" w:rsidRPr="00FB0421" w14:paraId="6EC0F912" w14:textId="77777777" w:rsidTr="00FB0421">
        <w:trPr>
          <w:trHeight w:val="288"/>
        </w:trPr>
        <w:tc>
          <w:tcPr>
            <w:tcW w:w="2335" w:type="dxa"/>
            <w:tcBorders>
              <w:top w:val="nil"/>
              <w:left w:val="single" w:sz="4" w:space="0" w:color="auto"/>
              <w:bottom w:val="single" w:sz="4" w:space="0" w:color="auto"/>
              <w:right w:val="single" w:sz="4" w:space="0" w:color="auto"/>
            </w:tcBorders>
            <w:shd w:val="clear" w:color="auto" w:fill="auto"/>
            <w:noWrap/>
            <w:vAlign w:val="center"/>
            <w:hideMark/>
          </w:tcPr>
          <w:p w14:paraId="70D7BEB0" w14:textId="77777777" w:rsidR="00150537" w:rsidRPr="00FB0421" w:rsidRDefault="00150537" w:rsidP="00150537">
            <w:pPr>
              <w:jc w:val="center"/>
              <w:rPr>
                <w:color w:val="000000"/>
                <w:sz w:val="22"/>
              </w:rPr>
            </w:pPr>
            <w:r w:rsidRPr="00FB0421">
              <w:rPr>
                <w:color w:val="000000"/>
                <w:sz w:val="22"/>
              </w:rPr>
              <w:t>2007</w:t>
            </w:r>
          </w:p>
        </w:tc>
        <w:tc>
          <w:tcPr>
            <w:tcW w:w="2970" w:type="dxa"/>
            <w:tcBorders>
              <w:top w:val="nil"/>
              <w:left w:val="nil"/>
              <w:bottom w:val="single" w:sz="4" w:space="0" w:color="auto"/>
              <w:right w:val="single" w:sz="4" w:space="0" w:color="auto"/>
            </w:tcBorders>
            <w:shd w:val="clear" w:color="auto" w:fill="auto"/>
            <w:noWrap/>
            <w:vAlign w:val="center"/>
            <w:hideMark/>
          </w:tcPr>
          <w:p w14:paraId="1FBB47DF" w14:textId="77777777" w:rsidR="00150537" w:rsidRPr="00FB0421" w:rsidRDefault="00150537" w:rsidP="00150537">
            <w:pPr>
              <w:jc w:val="center"/>
              <w:rPr>
                <w:color w:val="000000"/>
                <w:sz w:val="22"/>
              </w:rPr>
            </w:pPr>
            <w:r w:rsidRPr="00FB0421">
              <w:rPr>
                <w:color w:val="000000"/>
                <w:sz w:val="22"/>
              </w:rPr>
              <w:t>314</w:t>
            </w:r>
          </w:p>
        </w:tc>
      </w:tr>
      <w:tr w:rsidR="00150537" w:rsidRPr="00FB0421" w14:paraId="32695D09" w14:textId="77777777" w:rsidTr="00FB0421">
        <w:trPr>
          <w:trHeight w:val="288"/>
        </w:trPr>
        <w:tc>
          <w:tcPr>
            <w:tcW w:w="2335" w:type="dxa"/>
            <w:tcBorders>
              <w:top w:val="nil"/>
              <w:left w:val="single" w:sz="4" w:space="0" w:color="auto"/>
              <w:bottom w:val="single" w:sz="4" w:space="0" w:color="auto"/>
              <w:right w:val="single" w:sz="4" w:space="0" w:color="auto"/>
            </w:tcBorders>
            <w:shd w:val="clear" w:color="auto" w:fill="auto"/>
            <w:noWrap/>
            <w:vAlign w:val="center"/>
            <w:hideMark/>
          </w:tcPr>
          <w:p w14:paraId="7C20172E" w14:textId="77777777" w:rsidR="00150537" w:rsidRPr="00FB0421" w:rsidRDefault="00150537" w:rsidP="00150537">
            <w:pPr>
              <w:jc w:val="center"/>
              <w:rPr>
                <w:color w:val="000000"/>
                <w:sz w:val="22"/>
              </w:rPr>
            </w:pPr>
            <w:r w:rsidRPr="00FB0421">
              <w:rPr>
                <w:color w:val="000000"/>
                <w:sz w:val="22"/>
              </w:rPr>
              <w:t>2008</w:t>
            </w:r>
          </w:p>
        </w:tc>
        <w:tc>
          <w:tcPr>
            <w:tcW w:w="2970" w:type="dxa"/>
            <w:tcBorders>
              <w:top w:val="nil"/>
              <w:left w:val="nil"/>
              <w:bottom w:val="single" w:sz="4" w:space="0" w:color="auto"/>
              <w:right w:val="single" w:sz="4" w:space="0" w:color="auto"/>
            </w:tcBorders>
            <w:shd w:val="clear" w:color="auto" w:fill="auto"/>
            <w:noWrap/>
            <w:vAlign w:val="center"/>
            <w:hideMark/>
          </w:tcPr>
          <w:p w14:paraId="7626326C" w14:textId="77777777" w:rsidR="00150537" w:rsidRPr="00FB0421" w:rsidRDefault="00150537" w:rsidP="00150537">
            <w:pPr>
              <w:jc w:val="center"/>
              <w:rPr>
                <w:color w:val="000000"/>
                <w:sz w:val="22"/>
              </w:rPr>
            </w:pPr>
            <w:r w:rsidRPr="00FB0421">
              <w:rPr>
                <w:color w:val="000000"/>
                <w:sz w:val="22"/>
              </w:rPr>
              <w:t>314</w:t>
            </w:r>
          </w:p>
        </w:tc>
      </w:tr>
      <w:tr w:rsidR="00150537" w:rsidRPr="00FB0421" w14:paraId="2400EE6A" w14:textId="77777777" w:rsidTr="00FB0421">
        <w:trPr>
          <w:trHeight w:val="288"/>
        </w:trPr>
        <w:tc>
          <w:tcPr>
            <w:tcW w:w="2335" w:type="dxa"/>
            <w:tcBorders>
              <w:top w:val="nil"/>
              <w:left w:val="single" w:sz="4" w:space="0" w:color="auto"/>
              <w:bottom w:val="single" w:sz="4" w:space="0" w:color="auto"/>
              <w:right w:val="single" w:sz="4" w:space="0" w:color="auto"/>
            </w:tcBorders>
            <w:shd w:val="clear" w:color="auto" w:fill="auto"/>
            <w:noWrap/>
            <w:vAlign w:val="center"/>
            <w:hideMark/>
          </w:tcPr>
          <w:p w14:paraId="0F22E93B" w14:textId="77777777" w:rsidR="00150537" w:rsidRPr="00FB0421" w:rsidRDefault="00150537" w:rsidP="00150537">
            <w:pPr>
              <w:jc w:val="center"/>
              <w:rPr>
                <w:color w:val="000000"/>
                <w:sz w:val="22"/>
              </w:rPr>
            </w:pPr>
            <w:r w:rsidRPr="00FB0421">
              <w:rPr>
                <w:color w:val="000000"/>
                <w:sz w:val="22"/>
              </w:rPr>
              <w:t>2009</w:t>
            </w:r>
          </w:p>
        </w:tc>
        <w:tc>
          <w:tcPr>
            <w:tcW w:w="2970" w:type="dxa"/>
            <w:tcBorders>
              <w:top w:val="nil"/>
              <w:left w:val="nil"/>
              <w:bottom w:val="single" w:sz="4" w:space="0" w:color="auto"/>
              <w:right w:val="single" w:sz="4" w:space="0" w:color="auto"/>
            </w:tcBorders>
            <w:shd w:val="clear" w:color="auto" w:fill="auto"/>
            <w:noWrap/>
            <w:vAlign w:val="center"/>
            <w:hideMark/>
          </w:tcPr>
          <w:p w14:paraId="495A306F" w14:textId="77777777" w:rsidR="00150537" w:rsidRPr="00FB0421" w:rsidRDefault="00150537" w:rsidP="00150537">
            <w:pPr>
              <w:jc w:val="center"/>
              <w:rPr>
                <w:color w:val="000000"/>
                <w:sz w:val="22"/>
              </w:rPr>
            </w:pPr>
            <w:r w:rsidRPr="00FB0421">
              <w:rPr>
                <w:color w:val="000000"/>
                <w:sz w:val="22"/>
              </w:rPr>
              <w:t>314</w:t>
            </w:r>
          </w:p>
        </w:tc>
      </w:tr>
      <w:tr w:rsidR="00150537" w:rsidRPr="00FB0421" w14:paraId="44420E81" w14:textId="77777777" w:rsidTr="00FB0421">
        <w:trPr>
          <w:trHeight w:val="288"/>
        </w:trPr>
        <w:tc>
          <w:tcPr>
            <w:tcW w:w="2335" w:type="dxa"/>
            <w:tcBorders>
              <w:top w:val="nil"/>
              <w:left w:val="single" w:sz="4" w:space="0" w:color="auto"/>
              <w:bottom w:val="single" w:sz="4" w:space="0" w:color="auto"/>
              <w:right w:val="single" w:sz="4" w:space="0" w:color="auto"/>
            </w:tcBorders>
            <w:shd w:val="clear" w:color="auto" w:fill="auto"/>
            <w:noWrap/>
            <w:vAlign w:val="center"/>
            <w:hideMark/>
          </w:tcPr>
          <w:p w14:paraId="52C7150D" w14:textId="77777777" w:rsidR="00150537" w:rsidRPr="00FB0421" w:rsidRDefault="00150537" w:rsidP="00150537">
            <w:pPr>
              <w:jc w:val="center"/>
              <w:rPr>
                <w:color w:val="000000"/>
                <w:sz w:val="22"/>
              </w:rPr>
            </w:pPr>
            <w:r w:rsidRPr="00FB0421">
              <w:rPr>
                <w:color w:val="000000"/>
                <w:sz w:val="22"/>
              </w:rPr>
              <w:t>2010</w:t>
            </w:r>
          </w:p>
        </w:tc>
        <w:tc>
          <w:tcPr>
            <w:tcW w:w="2970" w:type="dxa"/>
            <w:tcBorders>
              <w:top w:val="nil"/>
              <w:left w:val="nil"/>
              <w:bottom w:val="single" w:sz="4" w:space="0" w:color="auto"/>
              <w:right w:val="single" w:sz="4" w:space="0" w:color="auto"/>
            </w:tcBorders>
            <w:shd w:val="clear" w:color="auto" w:fill="auto"/>
            <w:noWrap/>
            <w:vAlign w:val="center"/>
            <w:hideMark/>
          </w:tcPr>
          <w:p w14:paraId="3A7F6492" w14:textId="77777777" w:rsidR="00150537" w:rsidRPr="00FB0421" w:rsidRDefault="00150537" w:rsidP="00150537">
            <w:pPr>
              <w:jc w:val="center"/>
              <w:rPr>
                <w:color w:val="000000"/>
                <w:sz w:val="22"/>
              </w:rPr>
            </w:pPr>
            <w:r w:rsidRPr="00FB0421">
              <w:rPr>
                <w:color w:val="000000"/>
                <w:sz w:val="22"/>
              </w:rPr>
              <w:t>0</w:t>
            </w:r>
          </w:p>
        </w:tc>
      </w:tr>
      <w:tr w:rsidR="00150537" w:rsidRPr="00FB0421" w14:paraId="060CBCFC" w14:textId="77777777" w:rsidTr="00FB0421">
        <w:trPr>
          <w:trHeight w:val="288"/>
        </w:trPr>
        <w:tc>
          <w:tcPr>
            <w:tcW w:w="2335" w:type="dxa"/>
            <w:tcBorders>
              <w:top w:val="nil"/>
              <w:left w:val="single" w:sz="4" w:space="0" w:color="auto"/>
              <w:bottom w:val="single" w:sz="4" w:space="0" w:color="auto"/>
              <w:right w:val="single" w:sz="4" w:space="0" w:color="auto"/>
            </w:tcBorders>
            <w:shd w:val="clear" w:color="auto" w:fill="auto"/>
            <w:noWrap/>
            <w:vAlign w:val="center"/>
            <w:hideMark/>
          </w:tcPr>
          <w:p w14:paraId="3533400F" w14:textId="77777777" w:rsidR="00150537" w:rsidRPr="00FB0421" w:rsidRDefault="00150537" w:rsidP="00150537">
            <w:pPr>
              <w:jc w:val="center"/>
              <w:rPr>
                <w:color w:val="000000"/>
                <w:sz w:val="22"/>
              </w:rPr>
            </w:pPr>
            <w:r w:rsidRPr="00FB0421">
              <w:rPr>
                <w:color w:val="000000"/>
                <w:sz w:val="22"/>
              </w:rPr>
              <w:t>2011</w:t>
            </w:r>
          </w:p>
        </w:tc>
        <w:tc>
          <w:tcPr>
            <w:tcW w:w="2970" w:type="dxa"/>
            <w:tcBorders>
              <w:top w:val="nil"/>
              <w:left w:val="nil"/>
              <w:bottom w:val="single" w:sz="4" w:space="0" w:color="auto"/>
              <w:right w:val="single" w:sz="4" w:space="0" w:color="auto"/>
            </w:tcBorders>
            <w:shd w:val="clear" w:color="auto" w:fill="auto"/>
            <w:noWrap/>
            <w:vAlign w:val="center"/>
            <w:hideMark/>
          </w:tcPr>
          <w:p w14:paraId="0A2D4716" w14:textId="77777777" w:rsidR="00150537" w:rsidRPr="00FB0421" w:rsidRDefault="00150537" w:rsidP="00150537">
            <w:pPr>
              <w:jc w:val="center"/>
              <w:rPr>
                <w:color w:val="000000"/>
                <w:sz w:val="22"/>
              </w:rPr>
            </w:pPr>
            <w:r w:rsidRPr="00FB0421">
              <w:rPr>
                <w:color w:val="000000"/>
                <w:sz w:val="22"/>
              </w:rPr>
              <w:t>0</w:t>
            </w:r>
          </w:p>
        </w:tc>
      </w:tr>
      <w:tr w:rsidR="00150537" w:rsidRPr="00FB0421" w14:paraId="21DA8B73" w14:textId="77777777" w:rsidTr="00FB0421">
        <w:trPr>
          <w:trHeight w:val="288"/>
        </w:trPr>
        <w:tc>
          <w:tcPr>
            <w:tcW w:w="2335" w:type="dxa"/>
            <w:tcBorders>
              <w:top w:val="nil"/>
              <w:left w:val="single" w:sz="4" w:space="0" w:color="auto"/>
              <w:bottom w:val="single" w:sz="4" w:space="0" w:color="auto"/>
              <w:right w:val="single" w:sz="4" w:space="0" w:color="auto"/>
            </w:tcBorders>
            <w:shd w:val="clear" w:color="auto" w:fill="auto"/>
            <w:noWrap/>
            <w:vAlign w:val="center"/>
            <w:hideMark/>
          </w:tcPr>
          <w:p w14:paraId="31BAC68C" w14:textId="77777777" w:rsidR="00150537" w:rsidRPr="00FB0421" w:rsidRDefault="00150537" w:rsidP="00150537">
            <w:pPr>
              <w:jc w:val="center"/>
              <w:rPr>
                <w:color w:val="000000"/>
                <w:sz w:val="22"/>
              </w:rPr>
            </w:pPr>
            <w:r w:rsidRPr="00FB0421">
              <w:rPr>
                <w:color w:val="000000"/>
                <w:sz w:val="22"/>
              </w:rPr>
              <w:t>2012</w:t>
            </w:r>
          </w:p>
        </w:tc>
        <w:tc>
          <w:tcPr>
            <w:tcW w:w="2970" w:type="dxa"/>
            <w:tcBorders>
              <w:top w:val="nil"/>
              <w:left w:val="nil"/>
              <w:bottom w:val="single" w:sz="4" w:space="0" w:color="auto"/>
              <w:right w:val="single" w:sz="4" w:space="0" w:color="auto"/>
            </w:tcBorders>
            <w:shd w:val="clear" w:color="auto" w:fill="auto"/>
            <w:noWrap/>
            <w:vAlign w:val="center"/>
            <w:hideMark/>
          </w:tcPr>
          <w:p w14:paraId="655FA8C5" w14:textId="77777777" w:rsidR="00150537" w:rsidRPr="00FB0421" w:rsidRDefault="00150537" w:rsidP="00150537">
            <w:pPr>
              <w:jc w:val="center"/>
              <w:rPr>
                <w:color w:val="000000"/>
                <w:sz w:val="22"/>
              </w:rPr>
            </w:pPr>
            <w:r w:rsidRPr="00FB0421">
              <w:rPr>
                <w:color w:val="000000"/>
                <w:sz w:val="22"/>
              </w:rPr>
              <w:t>314</w:t>
            </w:r>
          </w:p>
        </w:tc>
      </w:tr>
      <w:tr w:rsidR="00150537" w:rsidRPr="00FB0421" w14:paraId="6D553229" w14:textId="77777777" w:rsidTr="00FB0421">
        <w:trPr>
          <w:trHeight w:val="288"/>
        </w:trPr>
        <w:tc>
          <w:tcPr>
            <w:tcW w:w="2335" w:type="dxa"/>
            <w:tcBorders>
              <w:top w:val="nil"/>
              <w:left w:val="single" w:sz="4" w:space="0" w:color="auto"/>
              <w:bottom w:val="single" w:sz="4" w:space="0" w:color="auto"/>
              <w:right w:val="single" w:sz="4" w:space="0" w:color="auto"/>
            </w:tcBorders>
            <w:shd w:val="clear" w:color="auto" w:fill="auto"/>
            <w:noWrap/>
            <w:vAlign w:val="center"/>
            <w:hideMark/>
          </w:tcPr>
          <w:p w14:paraId="5824743F" w14:textId="77777777" w:rsidR="00150537" w:rsidRPr="00FB0421" w:rsidRDefault="00150537" w:rsidP="00150537">
            <w:pPr>
              <w:jc w:val="center"/>
              <w:rPr>
                <w:color w:val="000000"/>
                <w:sz w:val="22"/>
              </w:rPr>
            </w:pPr>
            <w:r w:rsidRPr="00FB0421">
              <w:rPr>
                <w:color w:val="000000"/>
                <w:sz w:val="22"/>
              </w:rPr>
              <w:t>2013</w:t>
            </w:r>
          </w:p>
        </w:tc>
        <w:tc>
          <w:tcPr>
            <w:tcW w:w="2970" w:type="dxa"/>
            <w:tcBorders>
              <w:top w:val="nil"/>
              <w:left w:val="nil"/>
              <w:bottom w:val="single" w:sz="4" w:space="0" w:color="auto"/>
              <w:right w:val="single" w:sz="4" w:space="0" w:color="auto"/>
            </w:tcBorders>
            <w:shd w:val="clear" w:color="auto" w:fill="auto"/>
            <w:noWrap/>
            <w:vAlign w:val="center"/>
            <w:hideMark/>
          </w:tcPr>
          <w:p w14:paraId="098C7AF1" w14:textId="77777777" w:rsidR="00150537" w:rsidRPr="00FB0421" w:rsidRDefault="00150537" w:rsidP="00150537">
            <w:pPr>
              <w:jc w:val="center"/>
              <w:rPr>
                <w:color w:val="000000"/>
                <w:sz w:val="22"/>
              </w:rPr>
            </w:pPr>
            <w:r w:rsidRPr="00FB0421">
              <w:rPr>
                <w:color w:val="000000"/>
                <w:sz w:val="22"/>
              </w:rPr>
              <w:t>314</w:t>
            </w:r>
          </w:p>
        </w:tc>
      </w:tr>
      <w:tr w:rsidR="00150537" w:rsidRPr="00FB0421" w14:paraId="4930ABC5" w14:textId="77777777" w:rsidTr="00FB0421">
        <w:trPr>
          <w:trHeight w:val="288"/>
        </w:trPr>
        <w:tc>
          <w:tcPr>
            <w:tcW w:w="2335" w:type="dxa"/>
            <w:tcBorders>
              <w:top w:val="nil"/>
              <w:left w:val="single" w:sz="4" w:space="0" w:color="auto"/>
              <w:bottom w:val="single" w:sz="4" w:space="0" w:color="auto"/>
              <w:right w:val="single" w:sz="4" w:space="0" w:color="auto"/>
            </w:tcBorders>
            <w:shd w:val="clear" w:color="auto" w:fill="auto"/>
            <w:noWrap/>
            <w:vAlign w:val="center"/>
            <w:hideMark/>
          </w:tcPr>
          <w:p w14:paraId="78723B16" w14:textId="77777777" w:rsidR="00150537" w:rsidRPr="00FB0421" w:rsidRDefault="00150537" w:rsidP="00150537">
            <w:pPr>
              <w:jc w:val="center"/>
              <w:rPr>
                <w:color w:val="000000"/>
                <w:sz w:val="22"/>
              </w:rPr>
            </w:pPr>
            <w:r w:rsidRPr="00FB0421">
              <w:rPr>
                <w:color w:val="000000"/>
                <w:sz w:val="22"/>
              </w:rPr>
              <w:t>2014</w:t>
            </w:r>
          </w:p>
        </w:tc>
        <w:tc>
          <w:tcPr>
            <w:tcW w:w="2970" w:type="dxa"/>
            <w:tcBorders>
              <w:top w:val="nil"/>
              <w:left w:val="nil"/>
              <w:bottom w:val="single" w:sz="4" w:space="0" w:color="auto"/>
              <w:right w:val="single" w:sz="4" w:space="0" w:color="auto"/>
            </w:tcBorders>
            <w:shd w:val="clear" w:color="auto" w:fill="auto"/>
            <w:noWrap/>
            <w:vAlign w:val="center"/>
            <w:hideMark/>
          </w:tcPr>
          <w:p w14:paraId="5151C648" w14:textId="77777777" w:rsidR="00150537" w:rsidRPr="00FB0421" w:rsidRDefault="00150537" w:rsidP="00150537">
            <w:pPr>
              <w:jc w:val="center"/>
              <w:rPr>
                <w:color w:val="000000"/>
                <w:sz w:val="22"/>
              </w:rPr>
            </w:pPr>
            <w:r w:rsidRPr="00FB0421">
              <w:rPr>
                <w:color w:val="000000"/>
                <w:sz w:val="22"/>
              </w:rPr>
              <w:t>314</w:t>
            </w:r>
          </w:p>
        </w:tc>
      </w:tr>
      <w:tr w:rsidR="00150537" w:rsidRPr="00FB0421" w14:paraId="6DE81368" w14:textId="77777777" w:rsidTr="00FB0421">
        <w:trPr>
          <w:trHeight w:val="288"/>
        </w:trPr>
        <w:tc>
          <w:tcPr>
            <w:tcW w:w="2335" w:type="dxa"/>
            <w:tcBorders>
              <w:top w:val="nil"/>
              <w:left w:val="single" w:sz="4" w:space="0" w:color="auto"/>
              <w:bottom w:val="single" w:sz="4" w:space="0" w:color="auto"/>
              <w:right w:val="single" w:sz="4" w:space="0" w:color="auto"/>
            </w:tcBorders>
            <w:shd w:val="clear" w:color="auto" w:fill="auto"/>
            <w:noWrap/>
            <w:vAlign w:val="center"/>
            <w:hideMark/>
          </w:tcPr>
          <w:p w14:paraId="6B3A88D1" w14:textId="77777777" w:rsidR="00150537" w:rsidRPr="00FB0421" w:rsidRDefault="00150537" w:rsidP="00150537">
            <w:pPr>
              <w:jc w:val="center"/>
              <w:rPr>
                <w:color w:val="000000"/>
                <w:sz w:val="22"/>
              </w:rPr>
            </w:pPr>
            <w:r w:rsidRPr="00FB0421">
              <w:rPr>
                <w:color w:val="000000"/>
                <w:sz w:val="22"/>
              </w:rPr>
              <w:t>2015</w:t>
            </w:r>
          </w:p>
        </w:tc>
        <w:tc>
          <w:tcPr>
            <w:tcW w:w="2970" w:type="dxa"/>
            <w:tcBorders>
              <w:top w:val="nil"/>
              <w:left w:val="nil"/>
              <w:bottom w:val="single" w:sz="4" w:space="0" w:color="auto"/>
              <w:right w:val="single" w:sz="4" w:space="0" w:color="auto"/>
            </w:tcBorders>
            <w:shd w:val="clear" w:color="auto" w:fill="auto"/>
            <w:noWrap/>
            <w:vAlign w:val="center"/>
            <w:hideMark/>
          </w:tcPr>
          <w:p w14:paraId="3F9FBB7A" w14:textId="77777777" w:rsidR="00150537" w:rsidRPr="00FB0421" w:rsidRDefault="00150537" w:rsidP="00150537">
            <w:pPr>
              <w:jc w:val="center"/>
              <w:rPr>
                <w:color w:val="000000"/>
                <w:sz w:val="22"/>
              </w:rPr>
            </w:pPr>
            <w:r w:rsidRPr="00FB0421">
              <w:rPr>
                <w:color w:val="000000"/>
                <w:sz w:val="22"/>
              </w:rPr>
              <w:t>314</w:t>
            </w:r>
          </w:p>
        </w:tc>
      </w:tr>
      <w:tr w:rsidR="00150537" w:rsidRPr="00FB0421" w14:paraId="3CD9FF8F" w14:textId="77777777" w:rsidTr="00FB0421">
        <w:trPr>
          <w:trHeight w:val="288"/>
        </w:trPr>
        <w:tc>
          <w:tcPr>
            <w:tcW w:w="2335" w:type="dxa"/>
            <w:tcBorders>
              <w:top w:val="nil"/>
              <w:left w:val="single" w:sz="4" w:space="0" w:color="auto"/>
              <w:bottom w:val="single" w:sz="4" w:space="0" w:color="auto"/>
              <w:right w:val="single" w:sz="4" w:space="0" w:color="auto"/>
            </w:tcBorders>
            <w:shd w:val="clear" w:color="auto" w:fill="auto"/>
            <w:noWrap/>
            <w:vAlign w:val="center"/>
            <w:hideMark/>
          </w:tcPr>
          <w:p w14:paraId="7B3D5FAF" w14:textId="77777777" w:rsidR="00150537" w:rsidRPr="00FB0421" w:rsidRDefault="00150537" w:rsidP="00150537">
            <w:pPr>
              <w:jc w:val="center"/>
              <w:rPr>
                <w:color w:val="000000"/>
                <w:sz w:val="22"/>
              </w:rPr>
            </w:pPr>
            <w:r w:rsidRPr="00FB0421">
              <w:rPr>
                <w:color w:val="000000"/>
                <w:sz w:val="22"/>
              </w:rPr>
              <w:t>2016</w:t>
            </w:r>
          </w:p>
        </w:tc>
        <w:tc>
          <w:tcPr>
            <w:tcW w:w="2970" w:type="dxa"/>
            <w:tcBorders>
              <w:top w:val="nil"/>
              <w:left w:val="nil"/>
              <w:bottom w:val="single" w:sz="4" w:space="0" w:color="auto"/>
              <w:right w:val="single" w:sz="4" w:space="0" w:color="auto"/>
            </w:tcBorders>
            <w:shd w:val="clear" w:color="auto" w:fill="auto"/>
            <w:noWrap/>
            <w:vAlign w:val="center"/>
            <w:hideMark/>
          </w:tcPr>
          <w:p w14:paraId="7C8CB3C8" w14:textId="77777777" w:rsidR="00150537" w:rsidRPr="00FB0421" w:rsidRDefault="00150537" w:rsidP="00150537">
            <w:pPr>
              <w:jc w:val="center"/>
              <w:rPr>
                <w:color w:val="000000"/>
                <w:sz w:val="22"/>
              </w:rPr>
            </w:pPr>
            <w:r w:rsidRPr="00FB0421">
              <w:rPr>
                <w:color w:val="000000"/>
                <w:sz w:val="22"/>
              </w:rPr>
              <w:t>314</w:t>
            </w:r>
          </w:p>
        </w:tc>
      </w:tr>
      <w:tr w:rsidR="00150537" w:rsidRPr="00FB0421" w14:paraId="69BC43F9" w14:textId="77777777" w:rsidTr="00FB0421">
        <w:trPr>
          <w:trHeight w:val="288"/>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2DED30" w14:textId="77777777" w:rsidR="00150537" w:rsidRPr="00FB0421" w:rsidRDefault="00150537" w:rsidP="00150537">
            <w:pPr>
              <w:jc w:val="center"/>
              <w:rPr>
                <w:color w:val="000000"/>
                <w:sz w:val="22"/>
              </w:rPr>
            </w:pPr>
            <w:r w:rsidRPr="00FB0421">
              <w:rPr>
                <w:color w:val="000000"/>
                <w:sz w:val="22"/>
              </w:rPr>
              <w:t>2017</w:t>
            </w:r>
          </w:p>
        </w:tc>
        <w:tc>
          <w:tcPr>
            <w:tcW w:w="2970" w:type="dxa"/>
            <w:tcBorders>
              <w:top w:val="single" w:sz="4" w:space="0" w:color="auto"/>
              <w:left w:val="nil"/>
              <w:bottom w:val="single" w:sz="4" w:space="0" w:color="auto"/>
              <w:right w:val="single" w:sz="4" w:space="0" w:color="auto"/>
            </w:tcBorders>
            <w:shd w:val="clear" w:color="auto" w:fill="auto"/>
            <w:noWrap/>
            <w:vAlign w:val="center"/>
            <w:hideMark/>
          </w:tcPr>
          <w:p w14:paraId="06F114EC" w14:textId="77777777" w:rsidR="00150537" w:rsidRPr="00FB0421" w:rsidRDefault="00150537" w:rsidP="00150537">
            <w:pPr>
              <w:jc w:val="center"/>
              <w:rPr>
                <w:color w:val="000000"/>
                <w:sz w:val="22"/>
              </w:rPr>
            </w:pPr>
            <w:r w:rsidRPr="00FB0421">
              <w:rPr>
                <w:color w:val="000000"/>
                <w:sz w:val="22"/>
              </w:rPr>
              <w:t>314</w:t>
            </w:r>
          </w:p>
        </w:tc>
      </w:tr>
      <w:tr w:rsidR="00383D2B" w:rsidRPr="00FB0421" w14:paraId="0BCB191D" w14:textId="77777777" w:rsidTr="00FB0421">
        <w:trPr>
          <w:trHeight w:val="288"/>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82D01C" w14:textId="483045BC" w:rsidR="00383D2B" w:rsidRPr="00FB0421" w:rsidRDefault="00383D2B" w:rsidP="00150537">
            <w:pPr>
              <w:jc w:val="center"/>
              <w:rPr>
                <w:color w:val="000000"/>
                <w:sz w:val="22"/>
              </w:rPr>
            </w:pPr>
            <w:r w:rsidRPr="00FB0421">
              <w:rPr>
                <w:color w:val="000000"/>
                <w:sz w:val="22"/>
              </w:rPr>
              <w:t>2018</w:t>
            </w:r>
          </w:p>
        </w:tc>
        <w:tc>
          <w:tcPr>
            <w:tcW w:w="2970" w:type="dxa"/>
            <w:tcBorders>
              <w:top w:val="single" w:sz="4" w:space="0" w:color="auto"/>
              <w:left w:val="nil"/>
              <w:bottom w:val="single" w:sz="4" w:space="0" w:color="auto"/>
              <w:right w:val="single" w:sz="4" w:space="0" w:color="auto"/>
            </w:tcBorders>
            <w:shd w:val="clear" w:color="auto" w:fill="auto"/>
            <w:noWrap/>
            <w:vAlign w:val="center"/>
          </w:tcPr>
          <w:p w14:paraId="067684A3" w14:textId="26CE6DF5" w:rsidR="00383D2B" w:rsidRPr="00FB0421" w:rsidRDefault="00383D2B" w:rsidP="00150537">
            <w:pPr>
              <w:jc w:val="center"/>
              <w:rPr>
                <w:color w:val="000000"/>
                <w:sz w:val="22"/>
              </w:rPr>
            </w:pPr>
            <w:r w:rsidRPr="00FB0421">
              <w:rPr>
                <w:color w:val="000000"/>
                <w:sz w:val="22"/>
              </w:rPr>
              <w:t>314</w:t>
            </w:r>
          </w:p>
        </w:tc>
      </w:tr>
    </w:tbl>
    <w:p w14:paraId="294CB067" w14:textId="49FC29F5" w:rsidR="004E0658" w:rsidRDefault="004E0658" w:rsidP="00B9798C">
      <w:pPr>
        <w:pStyle w:val="ListParagraph"/>
        <w:numPr>
          <w:ilvl w:val="0"/>
          <w:numId w:val="3"/>
        </w:numPr>
        <w:spacing w:before="240" w:after="240"/>
        <w:ind w:left="360"/>
        <w:rPr>
          <w:b/>
        </w:rPr>
      </w:pPr>
      <w:r>
        <w:rPr>
          <w:b/>
        </w:rPr>
        <w:t>CNPPID Irrigator Lease</w:t>
      </w:r>
    </w:p>
    <w:p w14:paraId="159902DE" w14:textId="56D16C8F" w:rsidR="00EC452A" w:rsidRDefault="00C33E4C" w:rsidP="004E0658">
      <w:pPr>
        <w:pStyle w:val="ListParagraph"/>
        <w:spacing w:before="120" w:after="240"/>
        <w:ind w:left="0"/>
        <w:rPr>
          <w:szCs w:val="24"/>
        </w:rPr>
      </w:pPr>
      <w:r>
        <w:rPr>
          <w:szCs w:val="24"/>
        </w:rPr>
        <w:t xml:space="preserve">Beginning with the 2016 </w:t>
      </w:r>
      <w:r w:rsidR="00EC452A">
        <w:rPr>
          <w:szCs w:val="24"/>
        </w:rPr>
        <w:t>irrigation</w:t>
      </w:r>
      <w:r w:rsidR="00CC5697">
        <w:rPr>
          <w:szCs w:val="24"/>
        </w:rPr>
        <w:t xml:space="preserve"> season, the Program and CNPPID entered into a </w:t>
      </w:r>
      <w:r w:rsidR="00772DB9">
        <w:rPr>
          <w:szCs w:val="24"/>
        </w:rPr>
        <w:t>series</w:t>
      </w:r>
      <w:r w:rsidR="00CC5697">
        <w:rPr>
          <w:szCs w:val="24"/>
        </w:rPr>
        <w:t xml:space="preserve"> of temporary agreements to lease </w:t>
      </w:r>
      <w:r w:rsidR="00EC452A">
        <w:rPr>
          <w:szCs w:val="24"/>
        </w:rPr>
        <w:t xml:space="preserve">water directly from irrigators within the CNPPID systems.  </w:t>
      </w:r>
      <w:r w:rsidR="00B4372F">
        <w:rPr>
          <w:szCs w:val="24"/>
        </w:rPr>
        <w:t xml:space="preserve">Irrigators agree to fallow or dryland farm designated parcels, which are typically </w:t>
      </w:r>
      <w:r w:rsidR="009B48D1">
        <w:rPr>
          <w:szCs w:val="24"/>
        </w:rPr>
        <w:t xml:space="preserve">odd-shaped or otherwise </w:t>
      </w:r>
      <w:r w:rsidR="00B4372F">
        <w:rPr>
          <w:szCs w:val="24"/>
        </w:rPr>
        <w:t xml:space="preserve">difficult to irrigate.  </w:t>
      </w:r>
      <w:r w:rsidR="00EC452A">
        <w:rPr>
          <w:szCs w:val="24"/>
        </w:rPr>
        <w:t>The project operated as a pilot program from 2016 to 2018, at which point it was extended for 5 years, through the 2023 irrigation season.  In order to carry out the project, the CNPPID must declare a full allocation, in which case individual irrigators cannot trade water amongst themselves and the Program is the only potential customer for water leasing.</w:t>
      </w:r>
      <w:r w:rsidR="00425E02">
        <w:rPr>
          <w:szCs w:val="24"/>
        </w:rPr>
        <w:t xml:space="preserve">  The Program pays a fee to the CNPPID to administer the irrigator leasing program.</w:t>
      </w:r>
      <w:r w:rsidR="00EC452A">
        <w:rPr>
          <w:szCs w:val="24"/>
        </w:rPr>
        <w:t xml:space="preserve">  </w:t>
      </w:r>
    </w:p>
    <w:p w14:paraId="17C61356" w14:textId="2F0CC8A3" w:rsidR="00AD08B8" w:rsidRDefault="00EC452A" w:rsidP="004E0658">
      <w:pPr>
        <w:pStyle w:val="ListParagraph"/>
        <w:spacing w:before="120" w:after="240"/>
        <w:ind w:left="0"/>
        <w:rPr>
          <w:szCs w:val="24"/>
        </w:rPr>
      </w:pPr>
      <w:r>
        <w:rPr>
          <w:szCs w:val="24"/>
        </w:rPr>
        <w:t>For each acre enrolled in the irrigator lease program, the Program is credited with 9 inches (0.75 AF) in the Lake McConaughy EA, on or about October 1 following the end of the irrigation season.  Enrollment was originally capped at 2,000 acres, but participation has grown each year of project operation, and the new 5-year lease agreement set a cap of 3,000 acres</w:t>
      </w:r>
      <w:r w:rsidR="00AD08B8">
        <w:rPr>
          <w:szCs w:val="24"/>
        </w:rPr>
        <w:t xml:space="preserve"> beginning with the 2019 irrigation season</w:t>
      </w:r>
      <w:r>
        <w:rPr>
          <w:szCs w:val="24"/>
        </w:rPr>
        <w:t>.</w:t>
      </w:r>
    </w:p>
    <w:p w14:paraId="0A33500C" w14:textId="7110513B" w:rsidR="00C33E4C" w:rsidRDefault="00AD08B8" w:rsidP="004E0658">
      <w:pPr>
        <w:pStyle w:val="ListParagraph"/>
        <w:spacing w:before="120" w:after="240"/>
        <w:ind w:left="0"/>
        <w:rPr>
          <w:szCs w:val="24"/>
        </w:rPr>
      </w:pPr>
      <w:r w:rsidRPr="00425E02">
        <w:rPr>
          <w:b/>
          <w:szCs w:val="24"/>
        </w:rPr>
        <w:t xml:space="preserve">Table </w:t>
      </w:r>
      <w:r w:rsidR="00E27C8F">
        <w:rPr>
          <w:b/>
          <w:szCs w:val="24"/>
        </w:rPr>
        <w:t>12</w:t>
      </w:r>
      <w:r w:rsidR="00E27C8F">
        <w:rPr>
          <w:szCs w:val="24"/>
        </w:rPr>
        <w:t xml:space="preserve"> </w:t>
      </w:r>
      <w:r>
        <w:rPr>
          <w:szCs w:val="24"/>
        </w:rPr>
        <w:t xml:space="preserve">shows the acres enrolled and volume credited to the Lake McConaughy EA during each year of the </w:t>
      </w:r>
      <w:r w:rsidR="007F45FA">
        <w:rPr>
          <w:szCs w:val="24"/>
        </w:rPr>
        <w:t>pilot prog</w:t>
      </w:r>
      <w:r w:rsidR="00425E02">
        <w:rPr>
          <w:szCs w:val="24"/>
        </w:rPr>
        <w:t xml:space="preserve">ram.  Documents included in </w:t>
      </w:r>
      <w:r w:rsidR="00425E02" w:rsidRPr="00425E02">
        <w:rPr>
          <w:b/>
          <w:szCs w:val="24"/>
        </w:rPr>
        <w:t xml:space="preserve">Appendix </w:t>
      </w:r>
      <w:r w:rsidR="00E27C8F">
        <w:rPr>
          <w:b/>
          <w:szCs w:val="24"/>
        </w:rPr>
        <w:t>J</w:t>
      </w:r>
      <w:r w:rsidR="00E27C8F">
        <w:rPr>
          <w:szCs w:val="24"/>
        </w:rPr>
        <w:t xml:space="preserve"> </w:t>
      </w:r>
      <w:r w:rsidR="00425E02">
        <w:rPr>
          <w:szCs w:val="24"/>
        </w:rPr>
        <w:t xml:space="preserve">include the leasing agreement for the 2018 growing season, an amendment to that agreement increasing maximum enrollment to 2,100 acres, an invoice for the 2,055 acres enrolled in 2018, and the letter from NDNR to CNPPID confirming that 1,541 AF (0.75 AF/acre x 2,055 acres) was credited to the Lake McConaughy EA in October 2018. </w:t>
      </w:r>
      <w:r w:rsidR="00EC452A">
        <w:rPr>
          <w:szCs w:val="24"/>
        </w:rPr>
        <w:t xml:space="preserve">  </w:t>
      </w:r>
    </w:p>
    <w:p w14:paraId="3A5FC1CB" w14:textId="77777777" w:rsidR="00964E0A" w:rsidRDefault="00964E0A" w:rsidP="00721771">
      <w:pPr>
        <w:pStyle w:val="ListParagraph"/>
        <w:spacing w:before="120"/>
        <w:ind w:left="0"/>
        <w:rPr>
          <w:b/>
          <w:sz w:val="22"/>
        </w:rPr>
      </w:pPr>
    </w:p>
    <w:p w14:paraId="14CC60E2" w14:textId="34AF0BAD" w:rsidR="00721771" w:rsidRPr="00B04C8F" w:rsidRDefault="00721771" w:rsidP="00721771">
      <w:pPr>
        <w:pStyle w:val="ListParagraph"/>
        <w:spacing w:before="120"/>
        <w:ind w:left="0"/>
        <w:rPr>
          <w:b/>
          <w:sz w:val="22"/>
        </w:rPr>
      </w:pPr>
      <w:r w:rsidRPr="00B04C8F">
        <w:rPr>
          <w:b/>
          <w:sz w:val="22"/>
        </w:rPr>
        <w:lastRenderedPageBreak/>
        <w:t xml:space="preserve">Table </w:t>
      </w:r>
      <w:r w:rsidR="00E27C8F">
        <w:rPr>
          <w:b/>
          <w:sz w:val="22"/>
        </w:rPr>
        <w:t>12</w:t>
      </w:r>
      <w:r w:rsidRPr="00B04C8F">
        <w:rPr>
          <w:b/>
          <w:sz w:val="22"/>
        </w:rPr>
        <w:t>.  Annual Enrollment in CNPPID Irrigator Lease Program</w:t>
      </w:r>
    </w:p>
    <w:tbl>
      <w:tblPr>
        <w:tblStyle w:val="TableGrid"/>
        <w:tblW w:w="0" w:type="auto"/>
        <w:tblLook w:val="04A0" w:firstRow="1" w:lastRow="0" w:firstColumn="1" w:lastColumn="0" w:noHBand="0" w:noVBand="1"/>
      </w:tblPr>
      <w:tblGrid>
        <w:gridCol w:w="2466"/>
        <w:gridCol w:w="2466"/>
        <w:gridCol w:w="2466"/>
      </w:tblGrid>
      <w:tr w:rsidR="00721771" w:rsidRPr="00B04C8F" w14:paraId="72F962FC" w14:textId="77777777" w:rsidTr="00B04C8F">
        <w:tc>
          <w:tcPr>
            <w:tcW w:w="2466" w:type="dxa"/>
            <w:shd w:val="clear" w:color="auto" w:fill="C2D69B" w:themeFill="accent3" w:themeFillTint="99"/>
            <w:vAlign w:val="bottom"/>
          </w:tcPr>
          <w:p w14:paraId="536255E1" w14:textId="25BC171F" w:rsidR="00721771" w:rsidRPr="00B04C8F" w:rsidRDefault="00721771" w:rsidP="00721771">
            <w:pPr>
              <w:pStyle w:val="ListParagraph"/>
              <w:ind w:left="0"/>
              <w:jc w:val="center"/>
              <w:rPr>
                <w:b/>
                <w:sz w:val="22"/>
              </w:rPr>
            </w:pPr>
            <w:r w:rsidRPr="00B04C8F">
              <w:rPr>
                <w:b/>
                <w:sz w:val="22"/>
              </w:rPr>
              <w:t>Irrigation Season</w:t>
            </w:r>
          </w:p>
        </w:tc>
        <w:tc>
          <w:tcPr>
            <w:tcW w:w="2466" w:type="dxa"/>
            <w:shd w:val="clear" w:color="auto" w:fill="C2D69B" w:themeFill="accent3" w:themeFillTint="99"/>
            <w:vAlign w:val="bottom"/>
          </w:tcPr>
          <w:p w14:paraId="7E85781E" w14:textId="3C572FAF" w:rsidR="00721771" w:rsidRPr="00B04C8F" w:rsidRDefault="00721771" w:rsidP="00721771">
            <w:pPr>
              <w:pStyle w:val="ListParagraph"/>
              <w:ind w:left="0"/>
              <w:jc w:val="center"/>
              <w:rPr>
                <w:b/>
                <w:sz w:val="22"/>
              </w:rPr>
            </w:pPr>
            <w:r w:rsidRPr="00B04C8F">
              <w:rPr>
                <w:b/>
                <w:sz w:val="22"/>
              </w:rPr>
              <w:t>Acres Enrolled</w:t>
            </w:r>
          </w:p>
        </w:tc>
        <w:tc>
          <w:tcPr>
            <w:tcW w:w="2466" w:type="dxa"/>
            <w:shd w:val="clear" w:color="auto" w:fill="C2D69B" w:themeFill="accent3" w:themeFillTint="99"/>
            <w:vAlign w:val="bottom"/>
          </w:tcPr>
          <w:p w14:paraId="1C98C4ED" w14:textId="77777777" w:rsidR="00D70C11" w:rsidRPr="00B04C8F" w:rsidRDefault="00721771" w:rsidP="00721771">
            <w:pPr>
              <w:pStyle w:val="ListParagraph"/>
              <w:ind w:left="0"/>
              <w:jc w:val="center"/>
              <w:rPr>
                <w:b/>
                <w:sz w:val="22"/>
              </w:rPr>
            </w:pPr>
            <w:r w:rsidRPr="00B04C8F">
              <w:rPr>
                <w:b/>
                <w:sz w:val="22"/>
              </w:rPr>
              <w:t xml:space="preserve">Volume Credited to Lake McConaughy EA </w:t>
            </w:r>
          </w:p>
          <w:p w14:paraId="615E1FDE" w14:textId="621D642C" w:rsidR="00721771" w:rsidRPr="00B04C8F" w:rsidRDefault="00721771" w:rsidP="00721771">
            <w:pPr>
              <w:pStyle w:val="ListParagraph"/>
              <w:ind w:left="0"/>
              <w:jc w:val="center"/>
              <w:rPr>
                <w:b/>
                <w:sz w:val="22"/>
              </w:rPr>
            </w:pPr>
            <w:r w:rsidRPr="00B04C8F">
              <w:rPr>
                <w:b/>
                <w:sz w:val="22"/>
              </w:rPr>
              <w:t>(AF)</w:t>
            </w:r>
          </w:p>
        </w:tc>
      </w:tr>
      <w:tr w:rsidR="00721771" w:rsidRPr="00B04C8F" w14:paraId="5B63D7E9" w14:textId="77777777" w:rsidTr="00B04C8F">
        <w:trPr>
          <w:trHeight w:val="288"/>
        </w:trPr>
        <w:tc>
          <w:tcPr>
            <w:tcW w:w="2466" w:type="dxa"/>
            <w:vAlign w:val="center"/>
          </w:tcPr>
          <w:p w14:paraId="6457477E" w14:textId="604F8086" w:rsidR="00721771" w:rsidRPr="00B04C8F" w:rsidRDefault="00721771" w:rsidP="00721771">
            <w:pPr>
              <w:pStyle w:val="ListParagraph"/>
              <w:ind w:left="0"/>
              <w:jc w:val="center"/>
              <w:rPr>
                <w:sz w:val="22"/>
              </w:rPr>
            </w:pPr>
            <w:r w:rsidRPr="00B04C8F">
              <w:rPr>
                <w:sz w:val="22"/>
              </w:rPr>
              <w:t>2016</w:t>
            </w:r>
          </w:p>
        </w:tc>
        <w:tc>
          <w:tcPr>
            <w:tcW w:w="2466" w:type="dxa"/>
            <w:vAlign w:val="center"/>
          </w:tcPr>
          <w:p w14:paraId="035EA6FC" w14:textId="4129343E" w:rsidR="00721771" w:rsidRPr="00B04C8F" w:rsidRDefault="00721771" w:rsidP="00B04C8F">
            <w:pPr>
              <w:pStyle w:val="ListParagraph"/>
              <w:ind w:left="0"/>
              <w:jc w:val="center"/>
              <w:rPr>
                <w:sz w:val="22"/>
              </w:rPr>
            </w:pPr>
            <w:r w:rsidRPr="00B04C8F">
              <w:rPr>
                <w:sz w:val="22"/>
              </w:rPr>
              <w:t>1,037</w:t>
            </w:r>
          </w:p>
        </w:tc>
        <w:tc>
          <w:tcPr>
            <w:tcW w:w="2466" w:type="dxa"/>
            <w:vAlign w:val="center"/>
          </w:tcPr>
          <w:p w14:paraId="6138CED6" w14:textId="6975D9DE" w:rsidR="00721771" w:rsidRPr="00B04C8F" w:rsidRDefault="00721771" w:rsidP="00B04C8F">
            <w:pPr>
              <w:pStyle w:val="ListParagraph"/>
              <w:ind w:left="0"/>
              <w:jc w:val="center"/>
              <w:rPr>
                <w:sz w:val="22"/>
              </w:rPr>
            </w:pPr>
            <w:r w:rsidRPr="00B04C8F">
              <w:rPr>
                <w:sz w:val="22"/>
              </w:rPr>
              <w:t>778</w:t>
            </w:r>
          </w:p>
        </w:tc>
      </w:tr>
      <w:tr w:rsidR="00721771" w:rsidRPr="00B04C8F" w14:paraId="0C030075" w14:textId="77777777" w:rsidTr="00B04C8F">
        <w:trPr>
          <w:trHeight w:val="288"/>
        </w:trPr>
        <w:tc>
          <w:tcPr>
            <w:tcW w:w="2466" w:type="dxa"/>
            <w:vAlign w:val="center"/>
          </w:tcPr>
          <w:p w14:paraId="205EDC44" w14:textId="7F4B5B96" w:rsidR="00721771" w:rsidRPr="00B04C8F" w:rsidRDefault="00721771" w:rsidP="00721771">
            <w:pPr>
              <w:pStyle w:val="ListParagraph"/>
              <w:ind w:left="0"/>
              <w:jc w:val="center"/>
              <w:rPr>
                <w:sz w:val="22"/>
              </w:rPr>
            </w:pPr>
            <w:r w:rsidRPr="00B04C8F">
              <w:rPr>
                <w:sz w:val="22"/>
              </w:rPr>
              <w:t>2017</w:t>
            </w:r>
          </w:p>
        </w:tc>
        <w:tc>
          <w:tcPr>
            <w:tcW w:w="2466" w:type="dxa"/>
            <w:vAlign w:val="center"/>
          </w:tcPr>
          <w:p w14:paraId="7234CF47" w14:textId="675CAD44" w:rsidR="00721771" w:rsidRPr="00B04C8F" w:rsidRDefault="00721771" w:rsidP="00B04C8F">
            <w:pPr>
              <w:pStyle w:val="ListParagraph"/>
              <w:ind w:left="0"/>
              <w:jc w:val="center"/>
              <w:rPr>
                <w:sz w:val="22"/>
              </w:rPr>
            </w:pPr>
            <w:r w:rsidRPr="00B04C8F">
              <w:rPr>
                <w:sz w:val="22"/>
              </w:rPr>
              <w:t>1,275</w:t>
            </w:r>
          </w:p>
        </w:tc>
        <w:tc>
          <w:tcPr>
            <w:tcW w:w="2466" w:type="dxa"/>
            <w:vAlign w:val="center"/>
          </w:tcPr>
          <w:p w14:paraId="6F00C7EF" w14:textId="3154D1AC" w:rsidR="00721771" w:rsidRPr="00B04C8F" w:rsidRDefault="00721771" w:rsidP="00B04C8F">
            <w:pPr>
              <w:pStyle w:val="ListParagraph"/>
              <w:ind w:left="0"/>
              <w:jc w:val="center"/>
              <w:rPr>
                <w:sz w:val="22"/>
              </w:rPr>
            </w:pPr>
            <w:r w:rsidRPr="00B04C8F">
              <w:rPr>
                <w:sz w:val="22"/>
              </w:rPr>
              <w:t>956</w:t>
            </w:r>
          </w:p>
        </w:tc>
      </w:tr>
      <w:tr w:rsidR="00721771" w:rsidRPr="00B04C8F" w14:paraId="579BB9D3" w14:textId="77777777" w:rsidTr="00B04C8F">
        <w:trPr>
          <w:trHeight w:val="288"/>
        </w:trPr>
        <w:tc>
          <w:tcPr>
            <w:tcW w:w="2466" w:type="dxa"/>
            <w:vAlign w:val="center"/>
          </w:tcPr>
          <w:p w14:paraId="6A3539E1" w14:textId="118F428D" w:rsidR="00721771" w:rsidRPr="00B04C8F" w:rsidRDefault="00721771" w:rsidP="00721771">
            <w:pPr>
              <w:pStyle w:val="ListParagraph"/>
              <w:ind w:left="0"/>
              <w:jc w:val="center"/>
              <w:rPr>
                <w:sz w:val="22"/>
              </w:rPr>
            </w:pPr>
            <w:r w:rsidRPr="00B04C8F">
              <w:rPr>
                <w:sz w:val="22"/>
              </w:rPr>
              <w:t>2018</w:t>
            </w:r>
          </w:p>
        </w:tc>
        <w:tc>
          <w:tcPr>
            <w:tcW w:w="2466" w:type="dxa"/>
            <w:vAlign w:val="center"/>
          </w:tcPr>
          <w:p w14:paraId="16FA617B" w14:textId="7FB0D942" w:rsidR="00721771" w:rsidRPr="00B04C8F" w:rsidRDefault="00721771" w:rsidP="00B04C8F">
            <w:pPr>
              <w:pStyle w:val="ListParagraph"/>
              <w:ind w:left="0"/>
              <w:jc w:val="center"/>
              <w:rPr>
                <w:sz w:val="22"/>
              </w:rPr>
            </w:pPr>
            <w:r w:rsidRPr="00B04C8F">
              <w:rPr>
                <w:sz w:val="22"/>
              </w:rPr>
              <w:t>2,055</w:t>
            </w:r>
          </w:p>
        </w:tc>
        <w:tc>
          <w:tcPr>
            <w:tcW w:w="2466" w:type="dxa"/>
            <w:vAlign w:val="center"/>
          </w:tcPr>
          <w:p w14:paraId="1E7A5F03" w14:textId="2CFB0A69" w:rsidR="00721771" w:rsidRPr="00B04C8F" w:rsidRDefault="00721771" w:rsidP="00B04C8F">
            <w:pPr>
              <w:pStyle w:val="ListParagraph"/>
              <w:ind w:left="0"/>
              <w:jc w:val="center"/>
              <w:rPr>
                <w:sz w:val="22"/>
              </w:rPr>
            </w:pPr>
            <w:r w:rsidRPr="00B04C8F">
              <w:rPr>
                <w:sz w:val="22"/>
              </w:rPr>
              <w:t>1,541</w:t>
            </w:r>
          </w:p>
        </w:tc>
      </w:tr>
    </w:tbl>
    <w:p w14:paraId="2D354947" w14:textId="2A8750E3" w:rsidR="00D70C11" w:rsidRDefault="005073B4" w:rsidP="006238D3">
      <w:pPr>
        <w:pStyle w:val="ListParagraph"/>
        <w:spacing w:before="240" w:after="240"/>
        <w:ind w:left="0"/>
        <w:rPr>
          <w:szCs w:val="24"/>
        </w:rPr>
      </w:pPr>
      <w:r>
        <w:rPr>
          <w:szCs w:val="24"/>
        </w:rPr>
        <w:t>In a continuation of the trend of increasing annual enrollment</w:t>
      </w:r>
      <w:r w:rsidR="00D70C11">
        <w:rPr>
          <w:szCs w:val="24"/>
        </w:rPr>
        <w:t>, 2,948 acres are enrolled in the irrigator lease Program</w:t>
      </w:r>
      <w:r>
        <w:rPr>
          <w:szCs w:val="24"/>
        </w:rPr>
        <w:t xml:space="preserve"> for the forthcoming 2019 irrigation season</w:t>
      </w:r>
      <w:r w:rsidR="00D70C11">
        <w:rPr>
          <w:szCs w:val="24"/>
        </w:rPr>
        <w:t>, which is expected to result in a credit of 2,211 AF to the Lake McConaughy EA in October 2019.</w:t>
      </w:r>
    </w:p>
    <w:p w14:paraId="7D15474D" w14:textId="515019C8" w:rsidR="004E0658" w:rsidRDefault="004E0658" w:rsidP="00B9798C">
      <w:pPr>
        <w:pStyle w:val="ListParagraph"/>
        <w:numPr>
          <w:ilvl w:val="0"/>
          <w:numId w:val="3"/>
        </w:numPr>
        <w:spacing w:before="240" w:after="240"/>
        <w:ind w:left="360"/>
        <w:rPr>
          <w:b/>
        </w:rPr>
      </w:pPr>
      <w:r>
        <w:rPr>
          <w:b/>
        </w:rPr>
        <w:t xml:space="preserve">CPNRD </w:t>
      </w:r>
      <w:r w:rsidR="00146806">
        <w:rPr>
          <w:b/>
        </w:rPr>
        <w:t xml:space="preserve">Surface Water </w:t>
      </w:r>
      <w:r w:rsidR="003C0252">
        <w:rPr>
          <w:b/>
        </w:rPr>
        <w:t>Lease</w:t>
      </w:r>
    </w:p>
    <w:p w14:paraId="64AE7DFB" w14:textId="0DE72BCA" w:rsidR="001C3D11" w:rsidRDefault="0070328A" w:rsidP="004E0658">
      <w:pPr>
        <w:pStyle w:val="ListParagraph"/>
        <w:ind w:left="0"/>
        <w:rPr>
          <w:szCs w:val="24"/>
        </w:rPr>
      </w:pPr>
      <w:r>
        <w:rPr>
          <w:szCs w:val="24"/>
        </w:rPr>
        <w:t>Under the provisions of a December 2013 water use lease agreement</w:t>
      </w:r>
      <w:r w:rsidR="00AC1921">
        <w:rPr>
          <w:rStyle w:val="FootnoteReference"/>
          <w:szCs w:val="24"/>
        </w:rPr>
        <w:footnoteReference w:id="25"/>
      </w:r>
      <w:r>
        <w:rPr>
          <w:szCs w:val="24"/>
        </w:rPr>
        <w:t>, the CPNRD committed to provide up to 20,500 AF per year</w:t>
      </w:r>
      <w:r>
        <w:rPr>
          <w:rStyle w:val="FootnoteReference"/>
          <w:szCs w:val="24"/>
        </w:rPr>
        <w:footnoteReference w:id="26"/>
      </w:r>
      <w:r>
        <w:rPr>
          <w:szCs w:val="24"/>
        </w:rPr>
        <w:t xml:space="preserve"> to the Program through a combination of transferred surface water and accretions from groundwater recharge in the Thirty Mile, Cozad, and Orchard-Alfalfa canals.  The </w:t>
      </w:r>
      <w:r w:rsidR="005C2AE6">
        <w:rPr>
          <w:szCs w:val="24"/>
        </w:rPr>
        <w:t>agreement specifies</w:t>
      </w:r>
      <w:r w:rsidR="008761F2">
        <w:rPr>
          <w:szCs w:val="24"/>
        </w:rPr>
        <w:t xml:space="preserve"> that the source of the transferred surface water is </w:t>
      </w:r>
      <w:r w:rsidR="005C2AE6">
        <w:rPr>
          <w:szCs w:val="24"/>
        </w:rPr>
        <w:t xml:space="preserve">existing natural flow water rights held by the three canals for irrigation purposes, to be made available from irrigated lands that relinquish surface water supplies and instead irrigate with groundwater pumped from existing wells.  </w:t>
      </w:r>
    </w:p>
    <w:p w14:paraId="216968DD" w14:textId="77777777" w:rsidR="001C3D11" w:rsidRDefault="001C3D11" w:rsidP="004E0658">
      <w:pPr>
        <w:pStyle w:val="ListParagraph"/>
        <w:ind w:left="0"/>
        <w:rPr>
          <w:szCs w:val="24"/>
        </w:rPr>
      </w:pPr>
    </w:p>
    <w:p w14:paraId="675FDA52" w14:textId="152401E5" w:rsidR="00A8494F" w:rsidRDefault="005C2AE6" w:rsidP="004E0658">
      <w:pPr>
        <w:pStyle w:val="ListParagraph"/>
        <w:ind w:left="0"/>
        <w:rPr>
          <w:szCs w:val="24"/>
        </w:rPr>
      </w:pPr>
      <w:r>
        <w:rPr>
          <w:szCs w:val="24"/>
        </w:rPr>
        <w:t xml:space="preserve">For the first three years of project operations, beginning in 2015, the CPNRD calculated the net volume of transferrable surface water based on analyses of crop consumptive use and the depletions </w:t>
      </w:r>
      <w:r w:rsidR="0022707C">
        <w:rPr>
          <w:szCs w:val="24"/>
        </w:rPr>
        <w:t xml:space="preserve">resulting from the switch to groundwater pumping.  Available natural flow water was diverted and measured at the canal headgates, and appropriate volumes were immediately returned to the river in real time during the irrigation season.  This occurred regardless of whether the river was in excess or shortage relative to USFWS target flows, producing a scenario—particularly in normal to wet years—in which the Program was paying for significantly larger volumes of transferred surface water than actually served to reduce </w:t>
      </w:r>
      <w:r w:rsidR="00AF1D64">
        <w:rPr>
          <w:szCs w:val="24"/>
        </w:rPr>
        <w:t xml:space="preserve">real-time </w:t>
      </w:r>
      <w:r w:rsidR="0022707C">
        <w:rPr>
          <w:szCs w:val="24"/>
        </w:rPr>
        <w:t xml:space="preserve">target flow deficits.   </w:t>
      </w:r>
      <w:r w:rsidR="0070328A">
        <w:rPr>
          <w:szCs w:val="24"/>
        </w:rPr>
        <w:t xml:space="preserve"> </w:t>
      </w:r>
    </w:p>
    <w:p w14:paraId="03B8B0FA" w14:textId="5F6A1F51" w:rsidR="0070328A" w:rsidRDefault="0070328A" w:rsidP="004E0658">
      <w:pPr>
        <w:pStyle w:val="ListParagraph"/>
        <w:ind w:left="0"/>
        <w:rPr>
          <w:szCs w:val="24"/>
        </w:rPr>
      </w:pPr>
    </w:p>
    <w:p w14:paraId="076FD585" w14:textId="72879BB4" w:rsidR="00146806" w:rsidRDefault="00CF4020" w:rsidP="004E0658">
      <w:pPr>
        <w:pStyle w:val="ListParagraph"/>
        <w:ind w:left="0"/>
        <w:rPr>
          <w:szCs w:val="24"/>
        </w:rPr>
      </w:pPr>
      <w:r>
        <w:rPr>
          <w:szCs w:val="24"/>
        </w:rPr>
        <w:t xml:space="preserve">To make better use of the transferred surface water, the approach was modified in 2018 through implementation of a “pilot exchange project” in which natural flow water to which the CPNRD canals are entitled was not delivered to the canals (i.e., </w:t>
      </w:r>
      <w:r w:rsidR="00A727A4">
        <w:rPr>
          <w:szCs w:val="24"/>
        </w:rPr>
        <w:t xml:space="preserve">it was </w:t>
      </w:r>
      <w:r w:rsidR="00AC1454">
        <w:rPr>
          <w:szCs w:val="24"/>
        </w:rPr>
        <w:t>retained</w:t>
      </w:r>
      <w:r>
        <w:rPr>
          <w:szCs w:val="24"/>
        </w:rPr>
        <w:t xml:space="preserve"> in </w:t>
      </w:r>
      <w:r w:rsidR="00B35ED0">
        <w:rPr>
          <w:szCs w:val="24"/>
        </w:rPr>
        <w:t>Lake McConaughy</w:t>
      </w:r>
      <w:r>
        <w:rPr>
          <w:szCs w:val="24"/>
        </w:rPr>
        <w:t xml:space="preserve">) and credited to the Lake McConaughy EA following the end of the irrigation season. </w:t>
      </w:r>
      <w:r w:rsidR="00BA2DB9">
        <w:rPr>
          <w:szCs w:val="24"/>
        </w:rPr>
        <w:t xml:space="preserve"> </w:t>
      </w:r>
      <w:r>
        <w:rPr>
          <w:szCs w:val="24"/>
        </w:rPr>
        <w:t xml:space="preserve">This pilot exchange project was executed under a Memorandum of Understanding (MOU) between the CNPPID and CPNRD and with approval from the NDNR.  The Program’s water use lease agreement with CPNRD was also amended to accommodate </w:t>
      </w:r>
      <w:r w:rsidR="00146806">
        <w:rPr>
          <w:szCs w:val="24"/>
        </w:rPr>
        <w:t xml:space="preserve">the crediting of transferred surface water to the Lake McConaughy EA.  Letters exchanged between </w:t>
      </w:r>
      <w:r w:rsidR="00755845">
        <w:rPr>
          <w:szCs w:val="24"/>
        </w:rPr>
        <w:t>CNPPID</w:t>
      </w:r>
      <w:r w:rsidR="00146806">
        <w:rPr>
          <w:szCs w:val="24"/>
        </w:rPr>
        <w:t xml:space="preserve"> and NDNR in October </w:t>
      </w:r>
      <w:r w:rsidR="00146806">
        <w:rPr>
          <w:szCs w:val="24"/>
        </w:rPr>
        <w:lastRenderedPageBreak/>
        <w:t xml:space="preserve">2018 confirm that 14,251 AF associated with the pilot exchange project was credited to the Lake McConaughy EA in that month.  The water use lease agreement, amendments, and documentation pertinent to the pilot exchange project are included in </w:t>
      </w:r>
      <w:r w:rsidR="00146806" w:rsidRPr="00146806">
        <w:rPr>
          <w:b/>
          <w:szCs w:val="24"/>
        </w:rPr>
        <w:t xml:space="preserve">Appendix </w:t>
      </w:r>
      <w:r w:rsidR="00E27C8F">
        <w:rPr>
          <w:b/>
          <w:szCs w:val="24"/>
        </w:rPr>
        <w:t>K</w:t>
      </w:r>
      <w:r w:rsidR="00146806">
        <w:rPr>
          <w:szCs w:val="24"/>
        </w:rPr>
        <w:t xml:space="preserve">.  </w:t>
      </w:r>
    </w:p>
    <w:p w14:paraId="1FE9B832" w14:textId="77777777" w:rsidR="00146806" w:rsidRDefault="00146806" w:rsidP="004E0658">
      <w:pPr>
        <w:pStyle w:val="ListParagraph"/>
        <w:ind w:left="0"/>
        <w:rPr>
          <w:szCs w:val="24"/>
        </w:rPr>
      </w:pPr>
    </w:p>
    <w:p w14:paraId="3C51A019" w14:textId="3A1EA6E0" w:rsidR="0070328A" w:rsidRDefault="00146806" w:rsidP="004E0658">
      <w:pPr>
        <w:pStyle w:val="ListParagraph"/>
        <w:ind w:left="0"/>
        <w:rPr>
          <w:szCs w:val="24"/>
        </w:rPr>
      </w:pPr>
      <w:r>
        <w:rPr>
          <w:szCs w:val="24"/>
        </w:rPr>
        <w:t>It is anticipated that the CPNRD surface water transfer project will be conducted in a similar manner involving similar volumes of water in 2019.  Given the complete change in approach to the project, no accounting is provided for the 2015-2017 surface water transfers, but the 2018 pilot exchange project is reflected in the aggregate accounting for the Lake McConaughy EA</w:t>
      </w:r>
      <w:r w:rsidR="00677B3B">
        <w:rPr>
          <w:szCs w:val="24"/>
        </w:rPr>
        <w:t xml:space="preserve"> in the next section</w:t>
      </w:r>
      <w:r>
        <w:rPr>
          <w:szCs w:val="24"/>
        </w:rPr>
        <w:t>.</w:t>
      </w:r>
    </w:p>
    <w:p w14:paraId="29E78B29" w14:textId="01B3EA35" w:rsidR="004E0658" w:rsidRDefault="003C0252" w:rsidP="00B9798C">
      <w:pPr>
        <w:pStyle w:val="ListParagraph"/>
        <w:numPr>
          <w:ilvl w:val="0"/>
          <w:numId w:val="3"/>
        </w:numPr>
        <w:spacing w:before="240" w:after="240"/>
        <w:ind w:left="360"/>
        <w:rPr>
          <w:b/>
        </w:rPr>
      </w:pPr>
      <w:r>
        <w:rPr>
          <w:b/>
        </w:rPr>
        <w:t>Combined</w:t>
      </w:r>
      <w:r w:rsidR="00146806">
        <w:rPr>
          <w:b/>
        </w:rPr>
        <w:t xml:space="preserve"> Accruals and </w:t>
      </w:r>
      <w:r w:rsidR="006627A2">
        <w:rPr>
          <w:b/>
        </w:rPr>
        <w:t xml:space="preserve">Releases from the </w:t>
      </w:r>
      <w:r w:rsidR="004E0658">
        <w:rPr>
          <w:b/>
        </w:rPr>
        <w:t>Lake McConaughy EA</w:t>
      </w:r>
    </w:p>
    <w:p w14:paraId="6542E2DD" w14:textId="4C8F5BAD" w:rsidR="007F499B" w:rsidRDefault="007F499B" w:rsidP="004E0658">
      <w:pPr>
        <w:pStyle w:val="ListParagraph"/>
        <w:spacing w:before="120" w:after="240"/>
        <w:ind w:left="0"/>
        <w:rPr>
          <w:szCs w:val="24"/>
        </w:rPr>
      </w:pPr>
      <w:r>
        <w:rPr>
          <w:szCs w:val="24"/>
        </w:rPr>
        <w:t xml:space="preserve">As </w:t>
      </w:r>
      <w:r w:rsidR="0075166B">
        <w:rPr>
          <w:szCs w:val="24"/>
        </w:rPr>
        <w:t>described</w:t>
      </w:r>
      <w:r>
        <w:rPr>
          <w:szCs w:val="24"/>
        </w:rPr>
        <w:t xml:space="preserve"> previously, all sources of water credited to the Lake McConaughy EA become</w:t>
      </w:r>
      <w:r w:rsidR="00CC32F5">
        <w:rPr>
          <w:szCs w:val="24"/>
        </w:rPr>
        <w:t xml:space="preserve"> a common supply under the A-17695 permit.  Releases from the Lake McConaughy EA to benefit threatened and endangered species downstream are overseen by the USFWS in coordination with the CNPPID</w:t>
      </w:r>
      <w:r w:rsidR="000A4F75">
        <w:rPr>
          <w:szCs w:val="24"/>
        </w:rPr>
        <w:t>.  The USFWS EA Manager prepares</w:t>
      </w:r>
      <w:r w:rsidR="00CC32F5">
        <w:rPr>
          <w:szCs w:val="24"/>
        </w:rPr>
        <w:t xml:space="preserve"> an Annual Operating Plan (AOP)</w:t>
      </w:r>
      <w:r w:rsidR="000A4F75">
        <w:rPr>
          <w:szCs w:val="24"/>
        </w:rPr>
        <w:t>, which outlines</w:t>
      </w:r>
      <w:r w:rsidR="00D3737A">
        <w:rPr>
          <w:szCs w:val="24"/>
        </w:rPr>
        <w:t xml:space="preserve"> priorities for</w:t>
      </w:r>
      <w:r w:rsidR="000A4F75">
        <w:rPr>
          <w:szCs w:val="24"/>
        </w:rPr>
        <w:t xml:space="preserve"> the timing, target flow rates, and purpose of planned releases from the Lake McConaughy EA</w:t>
      </w:r>
      <w:r w:rsidR="00D3737A">
        <w:rPr>
          <w:szCs w:val="24"/>
        </w:rPr>
        <w:t xml:space="preserve"> </w:t>
      </w:r>
      <w:r w:rsidR="00DA0C28">
        <w:rPr>
          <w:szCs w:val="24"/>
        </w:rPr>
        <w:t>during</w:t>
      </w:r>
      <w:r w:rsidR="00D3737A">
        <w:rPr>
          <w:szCs w:val="24"/>
        </w:rPr>
        <w:t xml:space="preserve"> the upcoming year</w:t>
      </w:r>
      <w:r w:rsidR="00CC32F5">
        <w:rPr>
          <w:szCs w:val="24"/>
        </w:rPr>
        <w:t xml:space="preserve">.  </w:t>
      </w:r>
      <w:r w:rsidR="004A1411">
        <w:rPr>
          <w:szCs w:val="24"/>
        </w:rPr>
        <w:t>Releases are generally timed to coincide</w:t>
      </w:r>
      <w:r w:rsidR="004E0007">
        <w:rPr>
          <w:szCs w:val="24"/>
        </w:rPr>
        <w:t xml:space="preserve"> with events such as the spring and fall whooping crane migrations; other releases are made for channel maintenance and species benefits for interior least terns and piping plovers.  </w:t>
      </w:r>
      <w:r w:rsidR="00CC32F5">
        <w:rPr>
          <w:szCs w:val="24"/>
        </w:rPr>
        <w:t xml:space="preserve">The final 2018 AOP is included in </w:t>
      </w:r>
      <w:r w:rsidR="00CC32F5" w:rsidRPr="00CC32F5">
        <w:rPr>
          <w:b/>
          <w:szCs w:val="24"/>
        </w:rPr>
        <w:t xml:space="preserve">Appendix </w:t>
      </w:r>
      <w:r w:rsidR="00E27C8F">
        <w:rPr>
          <w:b/>
          <w:szCs w:val="24"/>
        </w:rPr>
        <w:t>G</w:t>
      </w:r>
      <w:r w:rsidR="00CC32F5">
        <w:rPr>
          <w:szCs w:val="24"/>
        </w:rPr>
        <w:t>.</w:t>
      </w:r>
    </w:p>
    <w:p w14:paraId="31B09F7F" w14:textId="73907364" w:rsidR="009247B9" w:rsidRDefault="000A4F75" w:rsidP="004E0658">
      <w:pPr>
        <w:pStyle w:val="ListParagraph"/>
        <w:spacing w:before="120" w:after="240"/>
        <w:ind w:left="0"/>
        <w:rPr>
          <w:szCs w:val="24"/>
        </w:rPr>
      </w:pPr>
      <w:r>
        <w:rPr>
          <w:szCs w:val="24"/>
        </w:rPr>
        <w:t xml:space="preserve">The EDO developed an accounting of Lake McConaughy EA operations since the beginning of the Program’s First Increment in 2007.  This accounting includes total contributions to the EA from all water sources; losses due to evaporation, seepage, and reservoir resets; total releases from the EA; water volumes reaching Grand Island; and reductions to target flow deficits at Grand Island.  The Lake McConaughy EA accounting </w:t>
      </w:r>
      <w:r w:rsidR="00DA213B">
        <w:rPr>
          <w:szCs w:val="24"/>
        </w:rPr>
        <w:t xml:space="preserve">is </w:t>
      </w:r>
      <w:r>
        <w:rPr>
          <w:szCs w:val="24"/>
        </w:rPr>
        <w:t xml:space="preserve">presented in </w:t>
      </w:r>
      <w:r w:rsidRPr="000A4F75">
        <w:rPr>
          <w:b/>
          <w:szCs w:val="24"/>
        </w:rPr>
        <w:t xml:space="preserve">Table </w:t>
      </w:r>
      <w:r w:rsidR="00E27C8F" w:rsidRPr="000A4F75">
        <w:rPr>
          <w:b/>
          <w:szCs w:val="24"/>
        </w:rPr>
        <w:t>1</w:t>
      </w:r>
      <w:r w:rsidR="00E27C8F">
        <w:rPr>
          <w:b/>
          <w:szCs w:val="24"/>
        </w:rPr>
        <w:t>3</w:t>
      </w:r>
      <w:r>
        <w:rPr>
          <w:szCs w:val="24"/>
        </w:rPr>
        <w:t xml:space="preserve">.  In 2018, accruals to the account totaled </w:t>
      </w:r>
      <w:r w:rsidR="00586E49">
        <w:rPr>
          <w:szCs w:val="24"/>
        </w:rPr>
        <w:t>nearly 87,800</w:t>
      </w:r>
      <w:r>
        <w:rPr>
          <w:szCs w:val="24"/>
        </w:rPr>
        <w:t xml:space="preserve"> AF before losses, and the USFWS </w:t>
      </w:r>
      <w:r w:rsidR="0096415C">
        <w:rPr>
          <w:szCs w:val="24"/>
        </w:rPr>
        <w:t xml:space="preserve">cumulatively </w:t>
      </w:r>
      <w:r>
        <w:rPr>
          <w:szCs w:val="24"/>
        </w:rPr>
        <w:t xml:space="preserve">released </w:t>
      </w:r>
      <w:r w:rsidR="00586E49">
        <w:rPr>
          <w:szCs w:val="24"/>
        </w:rPr>
        <w:t>89,300</w:t>
      </w:r>
      <w:r>
        <w:rPr>
          <w:szCs w:val="24"/>
        </w:rPr>
        <w:t xml:space="preserve"> AF, resulting in deficit reductions of </w:t>
      </w:r>
      <w:r w:rsidR="00E62032">
        <w:rPr>
          <w:szCs w:val="24"/>
        </w:rPr>
        <w:t>about 73,300</w:t>
      </w:r>
      <w:r>
        <w:rPr>
          <w:szCs w:val="24"/>
        </w:rPr>
        <w:t xml:space="preserve"> AF at Grand Island.</w:t>
      </w:r>
      <w:r w:rsidR="00804A3D">
        <w:rPr>
          <w:szCs w:val="24"/>
        </w:rPr>
        <w:t xml:space="preserve">  </w:t>
      </w:r>
    </w:p>
    <w:p w14:paraId="1649D469" w14:textId="6105C1AE" w:rsidR="000F5112" w:rsidRDefault="00804A3D" w:rsidP="004E0658">
      <w:pPr>
        <w:pStyle w:val="ListParagraph"/>
        <w:spacing w:before="120" w:after="240"/>
        <w:ind w:left="0"/>
        <w:rPr>
          <w:szCs w:val="24"/>
        </w:rPr>
      </w:pPr>
      <w:r>
        <w:rPr>
          <w:szCs w:val="24"/>
        </w:rPr>
        <w:t>Total and average values are shown</w:t>
      </w:r>
      <w:r w:rsidR="009247B9">
        <w:rPr>
          <w:szCs w:val="24"/>
        </w:rPr>
        <w:t xml:space="preserve"> in Table 12</w:t>
      </w:r>
      <w:r>
        <w:rPr>
          <w:szCs w:val="24"/>
        </w:rPr>
        <w:t xml:space="preserve"> for </w:t>
      </w:r>
      <w:r w:rsidR="00AE7A32">
        <w:rPr>
          <w:szCs w:val="24"/>
        </w:rPr>
        <w:t>all years in the First Increment to date (2007-2018) as well as the period 2012-2018 to emphasize the significant shift in Lake McConaughy EA operations once the Pathfinder Modification Project was completed in 2012 and began making releases from the Pathfinder EA and the Pathfinder Municipal Account.  In the seven years since 2012, 76</w:t>
      </w:r>
      <w:r w:rsidR="007A17FB">
        <w:rPr>
          <w:szCs w:val="24"/>
        </w:rPr>
        <w:t xml:space="preserve"> percent</w:t>
      </w:r>
      <w:r w:rsidR="00AE7A32">
        <w:rPr>
          <w:szCs w:val="24"/>
        </w:rPr>
        <w:t xml:space="preserve"> of all accruals to the Lake McConaughy EA occurred and 85</w:t>
      </w:r>
      <w:r w:rsidR="007A17FB">
        <w:rPr>
          <w:szCs w:val="24"/>
        </w:rPr>
        <w:t xml:space="preserve"> percent</w:t>
      </w:r>
      <w:r w:rsidR="00AE7A32">
        <w:rPr>
          <w:szCs w:val="24"/>
        </w:rPr>
        <w:t xml:space="preserve"> of all releases were made</w:t>
      </w:r>
      <w:r w:rsidR="009247B9">
        <w:rPr>
          <w:szCs w:val="24"/>
        </w:rPr>
        <w:t>, providing 91</w:t>
      </w:r>
      <w:r w:rsidR="007A17FB">
        <w:rPr>
          <w:szCs w:val="24"/>
        </w:rPr>
        <w:t xml:space="preserve"> percent</w:t>
      </w:r>
      <w:r w:rsidR="009247B9">
        <w:rPr>
          <w:szCs w:val="24"/>
        </w:rPr>
        <w:t xml:space="preserve"> of the deficit reductions attributable to the Lake McConaughy EA</w:t>
      </w:r>
      <w:r w:rsidR="00AE7A32">
        <w:rPr>
          <w:szCs w:val="24"/>
        </w:rPr>
        <w:t>.</w:t>
      </w:r>
    </w:p>
    <w:p w14:paraId="2198C326" w14:textId="77777777" w:rsidR="005E703D" w:rsidRDefault="005E703D">
      <w:pPr>
        <w:rPr>
          <w:b/>
          <w:sz w:val="22"/>
        </w:rPr>
      </w:pPr>
      <w:r>
        <w:rPr>
          <w:b/>
          <w:sz w:val="22"/>
        </w:rPr>
        <w:br w:type="page"/>
      </w:r>
    </w:p>
    <w:p w14:paraId="61F28CEA" w14:textId="3E4F0A33" w:rsidR="000F5112" w:rsidRPr="0039677D" w:rsidRDefault="000F5112" w:rsidP="007A17FB">
      <w:pPr>
        <w:rPr>
          <w:b/>
          <w:sz w:val="22"/>
        </w:rPr>
      </w:pPr>
      <w:r w:rsidRPr="001D013D">
        <w:rPr>
          <w:b/>
          <w:sz w:val="22"/>
        </w:rPr>
        <w:lastRenderedPageBreak/>
        <w:t xml:space="preserve">Table </w:t>
      </w:r>
      <w:r w:rsidR="00E27C8F">
        <w:rPr>
          <w:b/>
          <w:sz w:val="22"/>
        </w:rPr>
        <w:t>13</w:t>
      </w:r>
      <w:r w:rsidR="009D4FD7">
        <w:rPr>
          <w:b/>
          <w:sz w:val="22"/>
        </w:rPr>
        <w:t>.</w:t>
      </w:r>
      <w:r>
        <w:rPr>
          <w:b/>
          <w:sz w:val="22"/>
        </w:rPr>
        <w:t xml:space="preserve"> Lake McConaughy EA</w:t>
      </w:r>
      <w:r w:rsidRPr="001D013D">
        <w:rPr>
          <w:b/>
          <w:sz w:val="22"/>
        </w:rPr>
        <w:t xml:space="preserve"> </w:t>
      </w:r>
      <w:r>
        <w:rPr>
          <w:b/>
          <w:sz w:val="22"/>
        </w:rPr>
        <w:t>Accruals, Releases, and Reductions to Target Flow Deficits</w:t>
      </w:r>
    </w:p>
    <w:tbl>
      <w:tblPr>
        <w:tblW w:w="5000" w:type="pct"/>
        <w:tblLayout w:type="fixed"/>
        <w:tblLook w:val="04A0" w:firstRow="1" w:lastRow="0" w:firstColumn="1" w:lastColumn="0" w:noHBand="0" w:noVBand="1"/>
      </w:tblPr>
      <w:tblGrid>
        <w:gridCol w:w="1336"/>
        <w:gridCol w:w="1336"/>
        <w:gridCol w:w="1336"/>
        <w:gridCol w:w="1336"/>
        <w:gridCol w:w="1336"/>
        <w:gridCol w:w="1335"/>
        <w:gridCol w:w="1335"/>
      </w:tblGrid>
      <w:tr w:rsidR="000F5112" w:rsidRPr="0039677D" w14:paraId="0A28723D" w14:textId="77777777" w:rsidTr="00583DE7">
        <w:trPr>
          <w:trHeight w:val="593"/>
        </w:trPr>
        <w:tc>
          <w:tcPr>
            <w:tcW w:w="714" w:type="pct"/>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hideMark/>
          </w:tcPr>
          <w:p w14:paraId="3114D3F6" w14:textId="30545652" w:rsidR="000F5112" w:rsidRPr="00583DE7" w:rsidRDefault="000F5112" w:rsidP="00B76952">
            <w:pPr>
              <w:jc w:val="center"/>
              <w:rPr>
                <w:b/>
                <w:bCs/>
                <w:color w:val="000000"/>
                <w:sz w:val="22"/>
              </w:rPr>
            </w:pPr>
            <w:r w:rsidRPr="00583DE7">
              <w:rPr>
                <w:b/>
                <w:bCs/>
                <w:color w:val="000000"/>
                <w:sz w:val="22"/>
              </w:rPr>
              <w:t xml:space="preserve">Year </w:t>
            </w:r>
          </w:p>
        </w:tc>
        <w:tc>
          <w:tcPr>
            <w:tcW w:w="714" w:type="pct"/>
            <w:tcBorders>
              <w:top w:val="single" w:sz="4" w:space="0" w:color="auto"/>
              <w:left w:val="nil"/>
              <w:bottom w:val="single" w:sz="4" w:space="0" w:color="auto"/>
              <w:right w:val="single" w:sz="4" w:space="0" w:color="auto"/>
            </w:tcBorders>
            <w:shd w:val="clear" w:color="auto" w:fill="C2D69B" w:themeFill="accent3" w:themeFillTint="99"/>
            <w:vAlign w:val="bottom"/>
            <w:hideMark/>
          </w:tcPr>
          <w:p w14:paraId="07144DE0" w14:textId="10929D26" w:rsidR="000F5112" w:rsidRPr="00583DE7" w:rsidRDefault="00294227" w:rsidP="00B76952">
            <w:pPr>
              <w:jc w:val="center"/>
              <w:rPr>
                <w:b/>
                <w:bCs/>
                <w:color w:val="000000"/>
                <w:sz w:val="22"/>
              </w:rPr>
            </w:pPr>
            <w:r w:rsidRPr="00583DE7">
              <w:rPr>
                <w:b/>
                <w:bCs/>
                <w:color w:val="000000"/>
                <w:sz w:val="22"/>
              </w:rPr>
              <w:t>Gross</w:t>
            </w:r>
            <w:r w:rsidR="000F5112" w:rsidRPr="00583DE7">
              <w:rPr>
                <w:b/>
                <w:bCs/>
                <w:color w:val="000000"/>
                <w:sz w:val="22"/>
              </w:rPr>
              <w:t xml:space="preserve"> Accruals to EA</w:t>
            </w:r>
          </w:p>
          <w:p w14:paraId="30FC451F" w14:textId="0EF89C00" w:rsidR="000F5112" w:rsidRPr="00583DE7" w:rsidRDefault="000F5112" w:rsidP="00B76952">
            <w:pPr>
              <w:jc w:val="center"/>
              <w:rPr>
                <w:b/>
                <w:bCs/>
                <w:color w:val="000000"/>
                <w:sz w:val="22"/>
              </w:rPr>
            </w:pPr>
            <w:r w:rsidRPr="00583DE7">
              <w:rPr>
                <w:b/>
                <w:bCs/>
                <w:color w:val="000000"/>
                <w:sz w:val="22"/>
              </w:rPr>
              <w:t xml:space="preserve"> (AF)</w:t>
            </w:r>
            <w:r w:rsidRPr="00583DE7">
              <w:rPr>
                <w:b/>
                <w:bCs/>
                <w:color w:val="000000"/>
                <w:sz w:val="22"/>
                <w:vertAlign w:val="superscript"/>
              </w:rPr>
              <w:t>1</w:t>
            </w:r>
          </w:p>
        </w:tc>
        <w:tc>
          <w:tcPr>
            <w:tcW w:w="714" w:type="pct"/>
            <w:tcBorders>
              <w:top w:val="single" w:sz="4" w:space="0" w:color="auto"/>
              <w:left w:val="nil"/>
              <w:bottom w:val="single" w:sz="4" w:space="0" w:color="auto"/>
              <w:right w:val="single" w:sz="4" w:space="0" w:color="auto"/>
            </w:tcBorders>
            <w:shd w:val="clear" w:color="auto" w:fill="C2D69B" w:themeFill="accent3" w:themeFillTint="99"/>
            <w:vAlign w:val="bottom"/>
            <w:hideMark/>
          </w:tcPr>
          <w:p w14:paraId="58F47952" w14:textId="77777777" w:rsidR="000F5112" w:rsidRPr="00583DE7" w:rsidRDefault="000F5112" w:rsidP="00B76952">
            <w:pPr>
              <w:jc w:val="center"/>
              <w:rPr>
                <w:b/>
                <w:bCs/>
                <w:color w:val="000000"/>
                <w:sz w:val="22"/>
              </w:rPr>
            </w:pPr>
            <w:r w:rsidRPr="00583DE7">
              <w:rPr>
                <w:b/>
                <w:bCs/>
                <w:color w:val="000000"/>
                <w:sz w:val="22"/>
              </w:rPr>
              <w:t>Net Losses</w:t>
            </w:r>
          </w:p>
          <w:p w14:paraId="35DF2E6F" w14:textId="72856F95" w:rsidR="000F5112" w:rsidRPr="00583DE7" w:rsidRDefault="000F5112" w:rsidP="00B76952">
            <w:pPr>
              <w:jc w:val="center"/>
              <w:rPr>
                <w:b/>
                <w:bCs/>
                <w:color w:val="000000"/>
                <w:sz w:val="22"/>
              </w:rPr>
            </w:pPr>
            <w:r w:rsidRPr="00583DE7">
              <w:rPr>
                <w:b/>
                <w:bCs/>
                <w:color w:val="000000"/>
                <w:sz w:val="22"/>
              </w:rPr>
              <w:t>(AF)</w:t>
            </w:r>
            <w:r w:rsidRPr="00583DE7">
              <w:rPr>
                <w:b/>
                <w:bCs/>
                <w:color w:val="000000"/>
                <w:sz w:val="22"/>
                <w:vertAlign w:val="superscript"/>
              </w:rPr>
              <w:t>2</w:t>
            </w:r>
          </w:p>
        </w:tc>
        <w:tc>
          <w:tcPr>
            <w:tcW w:w="714" w:type="pct"/>
            <w:tcBorders>
              <w:top w:val="single" w:sz="4" w:space="0" w:color="auto"/>
              <w:left w:val="nil"/>
              <w:bottom w:val="single" w:sz="4" w:space="0" w:color="auto"/>
              <w:right w:val="single" w:sz="4" w:space="0" w:color="auto"/>
            </w:tcBorders>
            <w:shd w:val="clear" w:color="auto" w:fill="C2D69B" w:themeFill="accent3" w:themeFillTint="99"/>
            <w:vAlign w:val="bottom"/>
          </w:tcPr>
          <w:p w14:paraId="4E052487" w14:textId="77777777" w:rsidR="000F5112" w:rsidRPr="00583DE7" w:rsidRDefault="000F5112" w:rsidP="00B76952">
            <w:pPr>
              <w:jc w:val="center"/>
              <w:rPr>
                <w:b/>
                <w:bCs/>
                <w:color w:val="000000"/>
                <w:sz w:val="22"/>
              </w:rPr>
            </w:pPr>
            <w:r w:rsidRPr="00583DE7">
              <w:rPr>
                <w:b/>
                <w:bCs/>
                <w:color w:val="000000"/>
                <w:sz w:val="22"/>
              </w:rPr>
              <w:t>Net Water: Accruals - Losses</w:t>
            </w:r>
          </w:p>
          <w:p w14:paraId="36571E78" w14:textId="0416A131" w:rsidR="000F5112" w:rsidRPr="00583DE7" w:rsidRDefault="000F5112" w:rsidP="00B76952">
            <w:pPr>
              <w:jc w:val="center"/>
              <w:rPr>
                <w:b/>
                <w:bCs/>
                <w:color w:val="000000"/>
                <w:sz w:val="22"/>
              </w:rPr>
            </w:pPr>
            <w:r w:rsidRPr="00583DE7">
              <w:rPr>
                <w:b/>
                <w:bCs/>
                <w:color w:val="000000"/>
                <w:sz w:val="22"/>
              </w:rPr>
              <w:t>(AF)</w:t>
            </w:r>
          </w:p>
        </w:tc>
        <w:tc>
          <w:tcPr>
            <w:tcW w:w="714" w:type="pct"/>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tcPr>
          <w:p w14:paraId="4738A9C0" w14:textId="7407A472" w:rsidR="000F5112" w:rsidRPr="00583DE7" w:rsidRDefault="000F5112" w:rsidP="00B76952">
            <w:pPr>
              <w:jc w:val="center"/>
              <w:rPr>
                <w:b/>
                <w:bCs/>
                <w:color w:val="000000"/>
                <w:sz w:val="22"/>
              </w:rPr>
            </w:pPr>
            <w:r w:rsidRPr="00583DE7">
              <w:rPr>
                <w:b/>
                <w:bCs/>
                <w:color w:val="000000"/>
                <w:sz w:val="22"/>
              </w:rPr>
              <w:t>Total EA Releases (A</w:t>
            </w:r>
            <w:r w:rsidR="00294227" w:rsidRPr="00583DE7">
              <w:rPr>
                <w:b/>
                <w:bCs/>
                <w:color w:val="000000"/>
                <w:sz w:val="22"/>
              </w:rPr>
              <w:t>F</w:t>
            </w:r>
            <w:r w:rsidRPr="00583DE7">
              <w:rPr>
                <w:b/>
                <w:bCs/>
                <w:color w:val="000000"/>
                <w:sz w:val="22"/>
              </w:rPr>
              <w:t>)</w:t>
            </w:r>
            <w:r w:rsidRPr="00583DE7">
              <w:rPr>
                <w:sz w:val="22"/>
                <w:vertAlign w:val="superscript"/>
              </w:rPr>
              <w:t xml:space="preserve"> 3</w:t>
            </w:r>
          </w:p>
        </w:tc>
        <w:tc>
          <w:tcPr>
            <w:tcW w:w="714" w:type="pct"/>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tcPr>
          <w:p w14:paraId="63D50184" w14:textId="77777777" w:rsidR="000F5112" w:rsidRPr="00583DE7" w:rsidRDefault="000F5112" w:rsidP="00B76952">
            <w:pPr>
              <w:jc w:val="center"/>
              <w:rPr>
                <w:b/>
                <w:bCs/>
                <w:color w:val="000000"/>
                <w:sz w:val="22"/>
              </w:rPr>
            </w:pPr>
            <w:r w:rsidRPr="00583DE7">
              <w:rPr>
                <w:b/>
                <w:bCs/>
                <w:color w:val="000000"/>
                <w:sz w:val="22"/>
              </w:rPr>
              <w:t xml:space="preserve">Net Yield at GI </w:t>
            </w:r>
          </w:p>
          <w:p w14:paraId="7DA80BD4" w14:textId="643CA186" w:rsidR="000F5112" w:rsidRPr="00583DE7" w:rsidRDefault="000F5112" w:rsidP="00B76952">
            <w:pPr>
              <w:jc w:val="center"/>
              <w:rPr>
                <w:b/>
                <w:bCs/>
                <w:color w:val="000000"/>
                <w:sz w:val="22"/>
              </w:rPr>
            </w:pPr>
            <w:r w:rsidRPr="00583DE7">
              <w:rPr>
                <w:b/>
                <w:bCs/>
                <w:color w:val="000000"/>
                <w:sz w:val="22"/>
              </w:rPr>
              <w:t>(AF)</w:t>
            </w:r>
            <w:r w:rsidRPr="00583DE7">
              <w:rPr>
                <w:sz w:val="22"/>
                <w:vertAlign w:val="superscript"/>
              </w:rPr>
              <w:t xml:space="preserve"> 4</w:t>
            </w:r>
          </w:p>
        </w:tc>
        <w:tc>
          <w:tcPr>
            <w:tcW w:w="714" w:type="pct"/>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hideMark/>
          </w:tcPr>
          <w:p w14:paraId="32DAACEB" w14:textId="050D721E" w:rsidR="000F5112" w:rsidRPr="00583DE7" w:rsidRDefault="000F5112" w:rsidP="00B76952">
            <w:pPr>
              <w:jc w:val="center"/>
              <w:rPr>
                <w:b/>
                <w:bCs/>
                <w:color w:val="000000"/>
                <w:sz w:val="22"/>
              </w:rPr>
            </w:pPr>
            <w:r w:rsidRPr="00583DE7">
              <w:rPr>
                <w:b/>
                <w:bCs/>
                <w:color w:val="000000"/>
                <w:sz w:val="22"/>
              </w:rPr>
              <w:t>Reductions to Deficits</w:t>
            </w:r>
            <w:r w:rsidRPr="00583DE7">
              <w:rPr>
                <w:b/>
                <w:bCs/>
                <w:color w:val="000000"/>
                <w:sz w:val="22"/>
              </w:rPr>
              <w:br/>
              <w:t>(AF)</w:t>
            </w:r>
            <w:r w:rsidRPr="00583DE7">
              <w:rPr>
                <w:sz w:val="22"/>
                <w:vertAlign w:val="superscript"/>
              </w:rPr>
              <w:t xml:space="preserve"> 5</w:t>
            </w:r>
          </w:p>
        </w:tc>
      </w:tr>
      <w:tr w:rsidR="00583DE7" w:rsidRPr="0039677D" w14:paraId="6B260C2F" w14:textId="77777777" w:rsidTr="00F9266F">
        <w:trPr>
          <w:trHeight w:val="288"/>
        </w:trPr>
        <w:tc>
          <w:tcPr>
            <w:tcW w:w="714" w:type="pct"/>
            <w:tcBorders>
              <w:top w:val="nil"/>
              <w:left w:val="single" w:sz="4" w:space="0" w:color="auto"/>
              <w:bottom w:val="single" w:sz="4" w:space="0" w:color="auto"/>
              <w:right w:val="single" w:sz="4" w:space="0" w:color="auto"/>
            </w:tcBorders>
            <w:shd w:val="clear" w:color="auto" w:fill="auto"/>
            <w:noWrap/>
            <w:vAlign w:val="center"/>
          </w:tcPr>
          <w:p w14:paraId="4CB350D9" w14:textId="77777777" w:rsidR="00583DE7" w:rsidRPr="00583DE7" w:rsidRDefault="00583DE7" w:rsidP="00583DE7">
            <w:pPr>
              <w:jc w:val="center"/>
              <w:rPr>
                <w:sz w:val="22"/>
              </w:rPr>
            </w:pPr>
            <w:r w:rsidRPr="00583DE7">
              <w:rPr>
                <w:sz w:val="22"/>
              </w:rPr>
              <w:t>2007</w:t>
            </w:r>
          </w:p>
        </w:tc>
        <w:tc>
          <w:tcPr>
            <w:tcW w:w="714" w:type="pct"/>
            <w:tcBorders>
              <w:top w:val="nil"/>
              <w:left w:val="nil"/>
              <w:bottom w:val="single" w:sz="4" w:space="0" w:color="auto"/>
              <w:right w:val="single" w:sz="4" w:space="0" w:color="auto"/>
            </w:tcBorders>
            <w:shd w:val="clear" w:color="auto" w:fill="auto"/>
            <w:noWrap/>
          </w:tcPr>
          <w:p w14:paraId="163161A3" w14:textId="2DF1BCBC" w:rsidR="00583DE7" w:rsidRPr="00583DE7" w:rsidRDefault="00583DE7" w:rsidP="00583DE7">
            <w:pPr>
              <w:jc w:val="center"/>
              <w:rPr>
                <w:color w:val="000000"/>
                <w:sz w:val="22"/>
              </w:rPr>
            </w:pPr>
            <w:r w:rsidRPr="00583DE7">
              <w:rPr>
                <w:sz w:val="22"/>
              </w:rPr>
              <w:t>34,800</w:t>
            </w:r>
          </w:p>
        </w:tc>
        <w:tc>
          <w:tcPr>
            <w:tcW w:w="714" w:type="pct"/>
            <w:tcBorders>
              <w:top w:val="nil"/>
              <w:left w:val="nil"/>
              <w:bottom w:val="single" w:sz="4" w:space="0" w:color="auto"/>
              <w:right w:val="single" w:sz="4" w:space="0" w:color="auto"/>
            </w:tcBorders>
            <w:shd w:val="clear" w:color="auto" w:fill="auto"/>
            <w:noWrap/>
          </w:tcPr>
          <w:p w14:paraId="7F7B64A8" w14:textId="5D818561" w:rsidR="00583DE7" w:rsidRPr="00583DE7" w:rsidRDefault="00583DE7" w:rsidP="00583DE7">
            <w:pPr>
              <w:jc w:val="center"/>
              <w:rPr>
                <w:color w:val="000000"/>
                <w:sz w:val="22"/>
                <w:highlight w:val="yellow"/>
              </w:rPr>
            </w:pPr>
            <w:r w:rsidRPr="00583DE7">
              <w:rPr>
                <w:sz w:val="22"/>
              </w:rPr>
              <w:t>17,300</w:t>
            </w:r>
          </w:p>
        </w:tc>
        <w:tc>
          <w:tcPr>
            <w:tcW w:w="714" w:type="pct"/>
            <w:tcBorders>
              <w:top w:val="single" w:sz="4" w:space="0" w:color="auto"/>
              <w:left w:val="nil"/>
              <w:bottom w:val="single" w:sz="4" w:space="0" w:color="auto"/>
              <w:right w:val="single" w:sz="4" w:space="0" w:color="auto"/>
            </w:tcBorders>
          </w:tcPr>
          <w:p w14:paraId="3BD174F2" w14:textId="4A468D0C" w:rsidR="00583DE7" w:rsidRPr="00583DE7" w:rsidRDefault="00583DE7" w:rsidP="00583DE7">
            <w:pPr>
              <w:jc w:val="center"/>
              <w:rPr>
                <w:color w:val="000000"/>
                <w:sz w:val="22"/>
              </w:rPr>
            </w:pPr>
            <w:r w:rsidRPr="00583DE7">
              <w:rPr>
                <w:sz w:val="22"/>
              </w:rPr>
              <w:t>17,500</w:t>
            </w:r>
          </w:p>
        </w:tc>
        <w:tc>
          <w:tcPr>
            <w:tcW w:w="714" w:type="pct"/>
            <w:tcBorders>
              <w:top w:val="single" w:sz="4" w:space="0" w:color="auto"/>
              <w:left w:val="single" w:sz="4" w:space="0" w:color="auto"/>
              <w:bottom w:val="single" w:sz="4" w:space="0" w:color="auto"/>
              <w:right w:val="single" w:sz="4" w:space="0" w:color="auto"/>
            </w:tcBorders>
          </w:tcPr>
          <w:p w14:paraId="6D8041C0" w14:textId="39097C5C" w:rsidR="00583DE7" w:rsidRPr="00583DE7" w:rsidRDefault="00583DE7" w:rsidP="00583DE7">
            <w:pPr>
              <w:jc w:val="center"/>
              <w:rPr>
                <w:color w:val="000000"/>
                <w:sz w:val="22"/>
              </w:rPr>
            </w:pPr>
            <w:r w:rsidRPr="00583DE7">
              <w:rPr>
                <w:sz w:val="22"/>
              </w:rPr>
              <w:t>34,400</w:t>
            </w:r>
          </w:p>
        </w:tc>
        <w:tc>
          <w:tcPr>
            <w:tcW w:w="714" w:type="pct"/>
            <w:tcBorders>
              <w:top w:val="single" w:sz="4" w:space="0" w:color="auto"/>
              <w:left w:val="single" w:sz="4" w:space="0" w:color="auto"/>
              <w:bottom w:val="single" w:sz="4" w:space="0" w:color="auto"/>
              <w:right w:val="single" w:sz="4" w:space="0" w:color="auto"/>
            </w:tcBorders>
          </w:tcPr>
          <w:p w14:paraId="6C675AC8" w14:textId="35254CD0" w:rsidR="00583DE7" w:rsidRPr="00583DE7" w:rsidRDefault="00583DE7" w:rsidP="00583DE7">
            <w:pPr>
              <w:jc w:val="center"/>
              <w:rPr>
                <w:color w:val="000000"/>
                <w:sz w:val="22"/>
              </w:rPr>
            </w:pPr>
            <w:r w:rsidRPr="00583DE7">
              <w:rPr>
                <w:sz w:val="22"/>
              </w:rPr>
              <w:t>24,400</w:t>
            </w:r>
          </w:p>
        </w:tc>
        <w:tc>
          <w:tcPr>
            <w:tcW w:w="714" w:type="pct"/>
            <w:tcBorders>
              <w:top w:val="nil"/>
              <w:left w:val="single" w:sz="4" w:space="0" w:color="auto"/>
              <w:bottom w:val="single" w:sz="4" w:space="0" w:color="auto"/>
              <w:right w:val="single" w:sz="4" w:space="0" w:color="auto"/>
            </w:tcBorders>
            <w:shd w:val="clear" w:color="auto" w:fill="auto"/>
            <w:noWrap/>
          </w:tcPr>
          <w:p w14:paraId="5412AA8F" w14:textId="7B2B535A" w:rsidR="00583DE7" w:rsidRPr="00583DE7" w:rsidRDefault="00583DE7" w:rsidP="00583DE7">
            <w:pPr>
              <w:jc w:val="center"/>
              <w:rPr>
                <w:color w:val="000000"/>
                <w:sz w:val="22"/>
              </w:rPr>
            </w:pPr>
            <w:r w:rsidRPr="00583DE7">
              <w:rPr>
                <w:sz w:val="22"/>
              </w:rPr>
              <w:t>13,000</w:t>
            </w:r>
          </w:p>
        </w:tc>
      </w:tr>
      <w:tr w:rsidR="00583DE7" w:rsidRPr="0039677D" w14:paraId="4839964D" w14:textId="77777777" w:rsidTr="00F9266F">
        <w:trPr>
          <w:trHeight w:val="288"/>
        </w:trPr>
        <w:tc>
          <w:tcPr>
            <w:tcW w:w="714" w:type="pct"/>
            <w:tcBorders>
              <w:top w:val="nil"/>
              <w:left w:val="single" w:sz="4" w:space="0" w:color="auto"/>
              <w:bottom w:val="single" w:sz="4" w:space="0" w:color="auto"/>
              <w:right w:val="single" w:sz="4" w:space="0" w:color="auto"/>
            </w:tcBorders>
            <w:shd w:val="clear" w:color="auto" w:fill="auto"/>
            <w:noWrap/>
            <w:vAlign w:val="center"/>
          </w:tcPr>
          <w:p w14:paraId="2DAE57EB" w14:textId="77777777" w:rsidR="00583DE7" w:rsidRPr="00583DE7" w:rsidRDefault="00583DE7" w:rsidP="00583DE7">
            <w:pPr>
              <w:jc w:val="center"/>
              <w:rPr>
                <w:sz w:val="22"/>
              </w:rPr>
            </w:pPr>
            <w:r w:rsidRPr="00583DE7">
              <w:rPr>
                <w:sz w:val="22"/>
              </w:rPr>
              <w:t>2008</w:t>
            </w:r>
          </w:p>
        </w:tc>
        <w:tc>
          <w:tcPr>
            <w:tcW w:w="714" w:type="pct"/>
            <w:tcBorders>
              <w:top w:val="nil"/>
              <w:left w:val="nil"/>
              <w:bottom w:val="single" w:sz="4" w:space="0" w:color="auto"/>
              <w:right w:val="single" w:sz="4" w:space="0" w:color="auto"/>
            </w:tcBorders>
            <w:shd w:val="clear" w:color="auto" w:fill="auto"/>
            <w:noWrap/>
          </w:tcPr>
          <w:p w14:paraId="146F9B21" w14:textId="00EEBB64" w:rsidR="00583DE7" w:rsidRPr="00583DE7" w:rsidRDefault="00583DE7" w:rsidP="00583DE7">
            <w:pPr>
              <w:jc w:val="center"/>
              <w:rPr>
                <w:color w:val="000000"/>
                <w:sz w:val="22"/>
              </w:rPr>
            </w:pPr>
            <w:r w:rsidRPr="00583DE7">
              <w:rPr>
                <w:sz w:val="22"/>
              </w:rPr>
              <w:t>37,700</w:t>
            </w:r>
          </w:p>
        </w:tc>
        <w:tc>
          <w:tcPr>
            <w:tcW w:w="714" w:type="pct"/>
            <w:tcBorders>
              <w:top w:val="nil"/>
              <w:left w:val="nil"/>
              <w:bottom w:val="single" w:sz="4" w:space="0" w:color="auto"/>
              <w:right w:val="single" w:sz="4" w:space="0" w:color="auto"/>
            </w:tcBorders>
            <w:shd w:val="clear" w:color="auto" w:fill="auto"/>
            <w:noWrap/>
          </w:tcPr>
          <w:p w14:paraId="189F02C7" w14:textId="113570B1" w:rsidR="00583DE7" w:rsidRPr="00583DE7" w:rsidRDefault="00583DE7" w:rsidP="00583DE7">
            <w:pPr>
              <w:jc w:val="center"/>
              <w:rPr>
                <w:color w:val="000000"/>
                <w:sz w:val="22"/>
                <w:highlight w:val="yellow"/>
              </w:rPr>
            </w:pPr>
            <w:r w:rsidRPr="00583DE7">
              <w:rPr>
                <w:sz w:val="22"/>
              </w:rPr>
              <w:t>17,700</w:t>
            </w:r>
          </w:p>
        </w:tc>
        <w:tc>
          <w:tcPr>
            <w:tcW w:w="714" w:type="pct"/>
            <w:tcBorders>
              <w:top w:val="single" w:sz="4" w:space="0" w:color="auto"/>
              <w:left w:val="nil"/>
              <w:bottom w:val="single" w:sz="4" w:space="0" w:color="auto"/>
              <w:right w:val="single" w:sz="4" w:space="0" w:color="auto"/>
            </w:tcBorders>
          </w:tcPr>
          <w:p w14:paraId="273A5234" w14:textId="54202AF6" w:rsidR="00583DE7" w:rsidRPr="00583DE7" w:rsidRDefault="00583DE7" w:rsidP="00583DE7">
            <w:pPr>
              <w:jc w:val="center"/>
              <w:rPr>
                <w:color w:val="000000"/>
                <w:sz w:val="22"/>
              </w:rPr>
            </w:pPr>
            <w:r w:rsidRPr="00583DE7">
              <w:rPr>
                <w:sz w:val="22"/>
              </w:rPr>
              <w:t>20,000</w:t>
            </w:r>
          </w:p>
        </w:tc>
        <w:tc>
          <w:tcPr>
            <w:tcW w:w="714" w:type="pct"/>
            <w:tcBorders>
              <w:top w:val="single" w:sz="4" w:space="0" w:color="auto"/>
              <w:left w:val="single" w:sz="4" w:space="0" w:color="auto"/>
              <w:bottom w:val="single" w:sz="4" w:space="0" w:color="auto"/>
              <w:right w:val="single" w:sz="4" w:space="0" w:color="auto"/>
            </w:tcBorders>
          </w:tcPr>
          <w:p w14:paraId="03705A6E" w14:textId="7FF2F386" w:rsidR="00583DE7" w:rsidRPr="00583DE7" w:rsidRDefault="00583DE7" w:rsidP="00583DE7">
            <w:pPr>
              <w:jc w:val="center"/>
              <w:rPr>
                <w:color w:val="000000"/>
                <w:sz w:val="22"/>
              </w:rPr>
            </w:pPr>
            <w:r w:rsidRPr="00583DE7">
              <w:rPr>
                <w:sz w:val="22"/>
              </w:rPr>
              <w:t>30,100</w:t>
            </w:r>
          </w:p>
        </w:tc>
        <w:tc>
          <w:tcPr>
            <w:tcW w:w="714" w:type="pct"/>
            <w:tcBorders>
              <w:top w:val="single" w:sz="4" w:space="0" w:color="auto"/>
              <w:left w:val="single" w:sz="4" w:space="0" w:color="auto"/>
              <w:bottom w:val="single" w:sz="4" w:space="0" w:color="auto"/>
              <w:right w:val="single" w:sz="4" w:space="0" w:color="auto"/>
            </w:tcBorders>
          </w:tcPr>
          <w:p w14:paraId="0849D0A8" w14:textId="0141289C" w:rsidR="00583DE7" w:rsidRPr="00583DE7" w:rsidRDefault="00583DE7" w:rsidP="00583DE7">
            <w:pPr>
              <w:jc w:val="center"/>
              <w:rPr>
                <w:color w:val="000000"/>
                <w:sz w:val="22"/>
              </w:rPr>
            </w:pPr>
            <w:r w:rsidRPr="00583DE7">
              <w:rPr>
                <w:sz w:val="22"/>
              </w:rPr>
              <w:t>17,800</w:t>
            </w:r>
          </w:p>
        </w:tc>
        <w:tc>
          <w:tcPr>
            <w:tcW w:w="714" w:type="pct"/>
            <w:tcBorders>
              <w:top w:val="nil"/>
              <w:left w:val="single" w:sz="4" w:space="0" w:color="auto"/>
              <w:bottom w:val="single" w:sz="4" w:space="0" w:color="auto"/>
              <w:right w:val="single" w:sz="4" w:space="0" w:color="auto"/>
            </w:tcBorders>
            <w:shd w:val="clear" w:color="auto" w:fill="auto"/>
            <w:noWrap/>
          </w:tcPr>
          <w:p w14:paraId="12D67455" w14:textId="3F12E3C8" w:rsidR="00583DE7" w:rsidRPr="00583DE7" w:rsidRDefault="00583DE7" w:rsidP="00583DE7">
            <w:pPr>
              <w:jc w:val="center"/>
              <w:rPr>
                <w:color w:val="000000"/>
                <w:sz w:val="22"/>
              </w:rPr>
            </w:pPr>
            <w:r w:rsidRPr="00583DE7">
              <w:rPr>
                <w:sz w:val="22"/>
              </w:rPr>
              <w:t>13,600</w:t>
            </w:r>
          </w:p>
        </w:tc>
      </w:tr>
      <w:tr w:rsidR="00583DE7" w:rsidRPr="0039677D" w14:paraId="01803067" w14:textId="77777777" w:rsidTr="00F9266F">
        <w:trPr>
          <w:trHeight w:val="288"/>
        </w:trPr>
        <w:tc>
          <w:tcPr>
            <w:tcW w:w="714" w:type="pct"/>
            <w:tcBorders>
              <w:top w:val="nil"/>
              <w:left w:val="single" w:sz="4" w:space="0" w:color="auto"/>
              <w:bottom w:val="single" w:sz="4" w:space="0" w:color="auto"/>
              <w:right w:val="single" w:sz="4" w:space="0" w:color="auto"/>
            </w:tcBorders>
            <w:shd w:val="clear" w:color="auto" w:fill="auto"/>
            <w:noWrap/>
            <w:vAlign w:val="center"/>
          </w:tcPr>
          <w:p w14:paraId="6447F55E" w14:textId="77777777" w:rsidR="00583DE7" w:rsidRPr="00583DE7" w:rsidRDefault="00583DE7" w:rsidP="00583DE7">
            <w:pPr>
              <w:jc w:val="center"/>
              <w:rPr>
                <w:sz w:val="22"/>
              </w:rPr>
            </w:pPr>
            <w:r w:rsidRPr="00583DE7">
              <w:rPr>
                <w:sz w:val="22"/>
              </w:rPr>
              <w:t>2009</w:t>
            </w:r>
          </w:p>
        </w:tc>
        <w:tc>
          <w:tcPr>
            <w:tcW w:w="714" w:type="pct"/>
            <w:tcBorders>
              <w:top w:val="nil"/>
              <w:left w:val="nil"/>
              <w:bottom w:val="single" w:sz="4" w:space="0" w:color="auto"/>
              <w:right w:val="single" w:sz="4" w:space="0" w:color="auto"/>
            </w:tcBorders>
            <w:shd w:val="clear" w:color="auto" w:fill="auto"/>
            <w:noWrap/>
          </w:tcPr>
          <w:p w14:paraId="379CF87B" w14:textId="2A2594B9" w:rsidR="00583DE7" w:rsidRPr="00583DE7" w:rsidRDefault="00583DE7" w:rsidP="00583DE7">
            <w:pPr>
              <w:jc w:val="center"/>
              <w:rPr>
                <w:color w:val="000000"/>
                <w:sz w:val="22"/>
              </w:rPr>
            </w:pPr>
            <w:r w:rsidRPr="00583DE7">
              <w:rPr>
                <w:sz w:val="22"/>
              </w:rPr>
              <w:t>40,000</w:t>
            </w:r>
          </w:p>
        </w:tc>
        <w:tc>
          <w:tcPr>
            <w:tcW w:w="714" w:type="pct"/>
            <w:tcBorders>
              <w:top w:val="nil"/>
              <w:left w:val="nil"/>
              <w:bottom w:val="single" w:sz="4" w:space="0" w:color="auto"/>
              <w:right w:val="single" w:sz="4" w:space="0" w:color="auto"/>
            </w:tcBorders>
            <w:shd w:val="clear" w:color="auto" w:fill="auto"/>
            <w:noWrap/>
          </w:tcPr>
          <w:p w14:paraId="1BF55EA7" w14:textId="3E2452E6" w:rsidR="00583DE7" w:rsidRPr="00583DE7" w:rsidRDefault="00583DE7" w:rsidP="00583DE7">
            <w:pPr>
              <w:jc w:val="center"/>
              <w:rPr>
                <w:color w:val="000000"/>
                <w:sz w:val="22"/>
                <w:highlight w:val="yellow"/>
              </w:rPr>
            </w:pPr>
            <w:r w:rsidRPr="00583DE7">
              <w:rPr>
                <w:sz w:val="22"/>
              </w:rPr>
              <w:t>9,200</w:t>
            </w:r>
          </w:p>
        </w:tc>
        <w:tc>
          <w:tcPr>
            <w:tcW w:w="714" w:type="pct"/>
            <w:tcBorders>
              <w:top w:val="single" w:sz="4" w:space="0" w:color="auto"/>
              <w:left w:val="nil"/>
              <w:bottom w:val="single" w:sz="4" w:space="0" w:color="auto"/>
              <w:right w:val="single" w:sz="4" w:space="0" w:color="auto"/>
            </w:tcBorders>
          </w:tcPr>
          <w:p w14:paraId="2F3CE996" w14:textId="475E6606" w:rsidR="00583DE7" w:rsidRPr="00583DE7" w:rsidRDefault="00583DE7" w:rsidP="00583DE7">
            <w:pPr>
              <w:jc w:val="center"/>
              <w:rPr>
                <w:color w:val="000000"/>
                <w:sz w:val="22"/>
              </w:rPr>
            </w:pPr>
            <w:r w:rsidRPr="00583DE7">
              <w:rPr>
                <w:sz w:val="22"/>
              </w:rPr>
              <w:t>30,800</w:t>
            </w:r>
          </w:p>
        </w:tc>
        <w:tc>
          <w:tcPr>
            <w:tcW w:w="714" w:type="pct"/>
            <w:tcBorders>
              <w:top w:val="single" w:sz="4" w:space="0" w:color="auto"/>
              <w:left w:val="single" w:sz="4" w:space="0" w:color="auto"/>
              <w:bottom w:val="single" w:sz="4" w:space="0" w:color="auto"/>
              <w:right w:val="single" w:sz="4" w:space="0" w:color="auto"/>
            </w:tcBorders>
          </w:tcPr>
          <w:p w14:paraId="4ED9ECD1" w14:textId="4CB0B63B" w:rsidR="00583DE7" w:rsidRPr="00583DE7" w:rsidRDefault="00583DE7" w:rsidP="00583DE7">
            <w:pPr>
              <w:jc w:val="center"/>
              <w:rPr>
                <w:color w:val="000000"/>
                <w:sz w:val="22"/>
              </w:rPr>
            </w:pPr>
            <w:r w:rsidRPr="00583DE7">
              <w:rPr>
                <w:sz w:val="22"/>
              </w:rPr>
              <w:t>23,000</w:t>
            </w:r>
          </w:p>
        </w:tc>
        <w:tc>
          <w:tcPr>
            <w:tcW w:w="714" w:type="pct"/>
            <w:tcBorders>
              <w:top w:val="single" w:sz="4" w:space="0" w:color="auto"/>
              <w:left w:val="single" w:sz="4" w:space="0" w:color="auto"/>
              <w:bottom w:val="single" w:sz="4" w:space="0" w:color="auto"/>
              <w:right w:val="single" w:sz="4" w:space="0" w:color="auto"/>
            </w:tcBorders>
          </w:tcPr>
          <w:p w14:paraId="195EF927" w14:textId="22B47296" w:rsidR="00583DE7" w:rsidRPr="00583DE7" w:rsidRDefault="00583DE7" w:rsidP="00583DE7">
            <w:pPr>
              <w:jc w:val="center"/>
              <w:rPr>
                <w:color w:val="000000"/>
                <w:sz w:val="22"/>
              </w:rPr>
            </w:pPr>
            <w:r w:rsidRPr="00583DE7">
              <w:rPr>
                <w:sz w:val="22"/>
              </w:rPr>
              <w:t>13,300</w:t>
            </w:r>
          </w:p>
        </w:tc>
        <w:tc>
          <w:tcPr>
            <w:tcW w:w="714" w:type="pct"/>
            <w:tcBorders>
              <w:top w:val="nil"/>
              <w:left w:val="single" w:sz="4" w:space="0" w:color="auto"/>
              <w:bottom w:val="single" w:sz="4" w:space="0" w:color="auto"/>
              <w:right w:val="single" w:sz="4" w:space="0" w:color="auto"/>
            </w:tcBorders>
            <w:shd w:val="clear" w:color="auto" w:fill="auto"/>
            <w:noWrap/>
          </w:tcPr>
          <w:p w14:paraId="6B88FDDE" w14:textId="360E904D" w:rsidR="00583DE7" w:rsidRPr="00583DE7" w:rsidRDefault="00583DE7" w:rsidP="00583DE7">
            <w:pPr>
              <w:jc w:val="center"/>
              <w:rPr>
                <w:color w:val="000000"/>
                <w:sz w:val="22"/>
              </w:rPr>
            </w:pPr>
            <w:r w:rsidRPr="00583DE7">
              <w:rPr>
                <w:sz w:val="22"/>
              </w:rPr>
              <w:t>8,200</w:t>
            </w:r>
          </w:p>
        </w:tc>
      </w:tr>
      <w:tr w:rsidR="00583DE7" w:rsidRPr="0039677D" w14:paraId="3F6FB04A" w14:textId="77777777" w:rsidTr="00F9266F">
        <w:trPr>
          <w:trHeight w:val="288"/>
        </w:trPr>
        <w:tc>
          <w:tcPr>
            <w:tcW w:w="714" w:type="pct"/>
            <w:tcBorders>
              <w:top w:val="nil"/>
              <w:left w:val="single" w:sz="4" w:space="0" w:color="auto"/>
              <w:bottom w:val="single" w:sz="4" w:space="0" w:color="auto"/>
              <w:right w:val="single" w:sz="4" w:space="0" w:color="auto"/>
            </w:tcBorders>
            <w:shd w:val="clear" w:color="auto" w:fill="auto"/>
            <w:noWrap/>
            <w:vAlign w:val="center"/>
          </w:tcPr>
          <w:p w14:paraId="2DCD918C" w14:textId="77777777" w:rsidR="00583DE7" w:rsidRPr="00583DE7" w:rsidRDefault="00583DE7" w:rsidP="00583DE7">
            <w:pPr>
              <w:jc w:val="center"/>
              <w:rPr>
                <w:sz w:val="22"/>
              </w:rPr>
            </w:pPr>
            <w:r w:rsidRPr="00583DE7">
              <w:rPr>
                <w:sz w:val="22"/>
              </w:rPr>
              <w:t>2010</w:t>
            </w:r>
          </w:p>
        </w:tc>
        <w:tc>
          <w:tcPr>
            <w:tcW w:w="714" w:type="pct"/>
            <w:tcBorders>
              <w:top w:val="nil"/>
              <w:left w:val="nil"/>
              <w:bottom w:val="single" w:sz="4" w:space="0" w:color="auto"/>
              <w:right w:val="single" w:sz="4" w:space="0" w:color="auto"/>
            </w:tcBorders>
            <w:shd w:val="clear" w:color="auto" w:fill="auto"/>
            <w:noWrap/>
          </w:tcPr>
          <w:p w14:paraId="42556F31" w14:textId="31459D95" w:rsidR="00583DE7" w:rsidRPr="00583DE7" w:rsidRDefault="00583DE7" w:rsidP="00583DE7">
            <w:pPr>
              <w:jc w:val="center"/>
              <w:rPr>
                <w:color w:val="000000"/>
                <w:sz w:val="22"/>
              </w:rPr>
            </w:pPr>
            <w:r w:rsidRPr="00583DE7">
              <w:rPr>
                <w:sz w:val="22"/>
              </w:rPr>
              <w:t>37,800</w:t>
            </w:r>
          </w:p>
        </w:tc>
        <w:tc>
          <w:tcPr>
            <w:tcW w:w="714" w:type="pct"/>
            <w:tcBorders>
              <w:top w:val="nil"/>
              <w:left w:val="nil"/>
              <w:bottom w:val="single" w:sz="4" w:space="0" w:color="auto"/>
              <w:right w:val="single" w:sz="4" w:space="0" w:color="auto"/>
            </w:tcBorders>
            <w:shd w:val="clear" w:color="auto" w:fill="auto"/>
            <w:noWrap/>
          </w:tcPr>
          <w:p w14:paraId="62978D24" w14:textId="6777D6EB" w:rsidR="00583DE7" w:rsidRPr="00583DE7" w:rsidRDefault="00583DE7" w:rsidP="00583DE7">
            <w:pPr>
              <w:jc w:val="center"/>
              <w:rPr>
                <w:color w:val="000000"/>
                <w:sz w:val="22"/>
                <w:highlight w:val="yellow"/>
              </w:rPr>
            </w:pPr>
            <w:r w:rsidRPr="00583DE7">
              <w:rPr>
                <w:sz w:val="22"/>
              </w:rPr>
              <w:t>8,900</w:t>
            </w:r>
          </w:p>
        </w:tc>
        <w:tc>
          <w:tcPr>
            <w:tcW w:w="714" w:type="pct"/>
            <w:tcBorders>
              <w:top w:val="single" w:sz="4" w:space="0" w:color="auto"/>
              <w:left w:val="nil"/>
              <w:bottom w:val="single" w:sz="4" w:space="0" w:color="auto"/>
              <w:right w:val="single" w:sz="4" w:space="0" w:color="auto"/>
            </w:tcBorders>
          </w:tcPr>
          <w:p w14:paraId="6B0E9A9B" w14:textId="01BDF2E9" w:rsidR="00583DE7" w:rsidRPr="00583DE7" w:rsidRDefault="00583DE7" w:rsidP="00583DE7">
            <w:pPr>
              <w:jc w:val="center"/>
              <w:rPr>
                <w:color w:val="000000"/>
                <w:sz w:val="22"/>
              </w:rPr>
            </w:pPr>
            <w:r w:rsidRPr="00583DE7">
              <w:rPr>
                <w:sz w:val="22"/>
              </w:rPr>
              <w:t>28,900</w:t>
            </w:r>
          </w:p>
        </w:tc>
        <w:tc>
          <w:tcPr>
            <w:tcW w:w="714" w:type="pct"/>
            <w:tcBorders>
              <w:top w:val="single" w:sz="4" w:space="0" w:color="auto"/>
              <w:left w:val="single" w:sz="4" w:space="0" w:color="auto"/>
              <w:bottom w:val="single" w:sz="4" w:space="0" w:color="auto"/>
              <w:right w:val="single" w:sz="4" w:space="0" w:color="auto"/>
            </w:tcBorders>
          </w:tcPr>
          <w:p w14:paraId="2A4E282B" w14:textId="326B7849" w:rsidR="00583DE7" w:rsidRPr="00583DE7" w:rsidRDefault="00583DE7" w:rsidP="00583DE7">
            <w:pPr>
              <w:jc w:val="center"/>
              <w:rPr>
                <w:color w:val="000000"/>
                <w:sz w:val="22"/>
              </w:rPr>
            </w:pPr>
            <w:r w:rsidRPr="00583DE7">
              <w:rPr>
                <w:sz w:val="22"/>
              </w:rPr>
              <w:t>0</w:t>
            </w:r>
          </w:p>
        </w:tc>
        <w:tc>
          <w:tcPr>
            <w:tcW w:w="714" w:type="pct"/>
            <w:tcBorders>
              <w:top w:val="single" w:sz="4" w:space="0" w:color="auto"/>
              <w:left w:val="single" w:sz="4" w:space="0" w:color="auto"/>
              <w:bottom w:val="single" w:sz="4" w:space="0" w:color="auto"/>
              <w:right w:val="single" w:sz="4" w:space="0" w:color="auto"/>
            </w:tcBorders>
          </w:tcPr>
          <w:p w14:paraId="1367B6D7" w14:textId="6EA90CA1" w:rsidR="00583DE7" w:rsidRPr="00583DE7" w:rsidRDefault="00583DE7" w:rsidP="00583DE7">
            <w:pPr>
              <w:jc w:val="center"/>
              <w:rPr>
                <w:color w:val="000000"/>
                <w:sz w:val="22"/>
              </w:rPr>
            </w:pPr>
            <w:r w:rsidRPr="00583DE7">
              <w:rPr>
                <w:sz w:val="22"/>
              </w:rPr>
              <w:t>0</w:t>
            </w:r>
          </w:p>
        </w:tc>
        <w:tc>
          <w:tcPr>
            <w:tcW w:w="714" w:type="pct"/>
            <w:tcBorders>
              <w:top w:val="nil"/>
              <w:left w:val="single" w:sz="4" w:space="0" w:color="auto"/>
              <w:bottom w:val="single" w:sz="4" w:space="0" w:color="auto"/>
              <w:right w:val="single" w:sz="4" w:space="0" w:color="auto"/>
            </w:tcBorders>
            <w:shd w:val="clear" w:color="auto" w:fill="auto"/>
            <w:noWrap/>
          </w:tcPr>
          <w:p w14:paraId="0CDE18F2" w14:textId="1C540292" w:rsidR="00583DE7" w:rsidRPr="00583DE7" w:rsidRDefault="00583DE7" w:rsidP="00583DE7">
            <w:pPr>
              <w:jc w:val="center"/>
              <w:rPr>
                <w:color w:val="000000"/>
                <w:sz w:val="22"/>
              </w:rPr>
            </w:pPr>
            <w:r w:rsidRPr="00583DE7">
              <w:rPr>
                <w:sz w:val="22"/>
              </w:rPr>
              <w:t>0</w:t>
            </w:r>
          </w:p>
        </w:tc>
      </w:tr>
      <w:tr w:rsidR="00583DE7" w:rsidRPr="0039677D" w14:paraId="496337E3" w14:textId="77777777" w:rsidTr="00F9266F">
        <w:trPr>
          <w:trHeight w:val="288"/>
        </w:trPr>
        <w:tc>
          <w:tcPr>
            <w:tcW w:w="714" w:type="pct"/>
            <w:tcBorders>
              <w:top w:val="nil"/>
              <w:left w:val="single" w:sz="4" w:space="0" w:color="auto"/>
              <w:bottom w:val="single" w:sz="4" w:space="0" w:color="auto"/>
              <w:right w:val="single" w:sz="4" w:space="0" w:color="auto"/>
            </w:tcBorders>
            <w:shd w:val="clear" w:color="auto" w:fill="auto"/>
            <w:noWrap/>
            <w:vAlign w:val="center"/>
          </w:tcPr>
          <w:p w14:paraId="3ACADF73" w14:textId="77777777" w:rsidR="00583DE7" w:rsidRPr="00583DE7" w:rsidRDefault="00583DE7" w:rsidP="00583DE7">
            <w:pPr>
              <w:jc w:val="center"/>
              <w:rPr>
                <w:sz w:val="22"/>
              </w:rPr>
            </w:pPr>
            <w:r w:rsidRPr="00583DE7">
              <w:rPr>
                <w:sz w:val="22"/>
              </w:rPr>
              <w:t>2011</w:t>
            </w:r>
          </w:p>
        </w:tc>
        <w:tc>
          <w:tcPr>
            <w:tcW w:w="714" w:type="pct"/>
            <w:tcBorders>
              <w:top w:val="nil"/>
              <w:left w:val="nil"/>
              <w:bottom w:val="single" w:sz="4" w:space="0" w:color="auto"/>
              <w:right w:val="single" w:sz="4" w:space="0" w:color="auto"/>
            </w:tcBorders>
            <w:shd w:val="clear" w:color="auto" w:fill="auto"/>
            <w:noWrap/>
          </w:tcPr>
          <w:p w14:paraId="13EB0D15" w14:textId="5D176D18" w:rsidR="00583DE7" w:rsidRPr="00583DE7" w:rsidRDefault="00583DE7" w:rsidP="00583DE7">
            <w:pPr>
              <w:jc w:val="center"/>
              <w:rPr>
                <w:color w:val="000000"/>
                <w:sz w:val="22"/>
              </w:rPr>
            </w:pPr>
            <w:r w:rsidRPr="00583DE7">
              <w:rPr>
                <w:sz w:val="22"/>
              </w:rPr>
              <w:t>27,500</w:t>
            </w:r>
          </w:p>
        </w:tc>
        <w:tc>
          <w:tcPr>
            <w:tcW w:w="714" w:type="pct"/>
            <w:tcBorders>
              <w:top w:val="nil"/>
              <w:left w:val="nil"/>
              <w:bottom w:val="single" w:sz="4" w:space="0" w:color="auto"/>
              <w:right w:val="single" w:sz="4" w:space="0" w:color="auto"/>
            </w:tcBorders>
            <w:shd w:val="clear" w:color="auto" w:fill="auto"/>
            <w:noWrap/>
          </w:tcPr>
          <w:p w14:paraId="3B618AFD" w14:textId="18A88A52" w:rsidR="00583DE7" w:rsidRPr="00583DE7" w:rsidRDefault="00583DE7" w:rsidP="00583DE7">
            <w:pPr>
              <w:jc w:val="center"/>
              <w:rPr>
                <w:color w:val="000000"/>
                <w:sz w:val="22"/>
                <w:highlight w:val="yellow"/>
              </w:rPr>
            </w:pPr>
            <w:r w:rsidRPr="00583DE7">
              <w:rPr>
                <w:sz w:val="22"/>
              </w:rPr>
              <w:t>47,200</w:t>
            </w:r>
          </w:p>
        </w:tc>
        <w:tc>
          <w:tcPr>
            <w:tcW w:w="714" w:type="pct"/>
            <w:tcBorders>
              <w:top w:val="single" w:sz="4" w:space="0" w:color="auto"/>
              <w:left w:val="nil"/>
              <w:bottom w:val="single" w:sz="4" w:space="0" w:color="auto"/>
              <w:right w:val="single" w:sz="4" w:space="0" w:color="auto"/>
            </w:tcBorders>
          </w:tcPr>
          <w:p w14:paraId="281DD3C5" w14:textId="69A45D3A" w:rsidR="00583DE7" w:rsidRPr="00583DE7" w:rsidRDefault="00583DE7" w:rsidP="00583DE7">
            <w:pPr>
              <w:jc w:val="center"/>
              <w:rPr>
                <w:color w:val="000000"/>
                <w:sz w:val="22"/>
              </w:rPr>
            </w:pPr>
            <w:r w:rsidRPr="00583DE7">
              <w:rPr>
                <w:sz w:val="22"/>
              </w:rPr>
              <w:t>-19,700</w:t>
            </w:r>
          </w:p>
        </w:tc>
        <w:tc>
          <w:tcPr>
            <w:tcW w:w="714" w:type="pct"/>
            <w:tcBorders>
              <w:top w:val="single" w:sz="4" w:space="0" w:color="auto"/>
              <w:left w:val="single" w:sz="4" w:space="0" w:color="auto"/>
              <w:bottom w:val="single" w:sz="4" w:space="0" w:color="auto"/>
              <w:right w:val="single" w:sz="4" w:space="0" w:color="auto"/>
            </w:tcBorders>
          </w:tcPr>
          <w:p w14:paraId="1B51E776" w14:textId="5379B4B4" w:rsidR="00583DE7" w:rsidRPr="00583DE7" w:rsidRDefault="00583DE7" w:rsidP="00583DE7">
            <w:pPr>
              <w:jc w:val="center"/>
              <w:rPr>
                <w:color w:val="000000"/>
                <w:sz w:val="22"/>
              </w:rPr>
            </w:pPr>
            <w:r w:rsidRPr="00583DE7">
              <w:rPr>
                <w:sz w:val="22"/>
              </w:rPr>
              <w:t>0</w:t>
            </w:r>
          </w:p>
        </w:tc>
        <w:tc>
          <w:tcPr>
            <w:tcW w:w="714" w:type="pct"/>
            <w:tcBorders>
              <w:top w:val="single" w:sz="4" w:space="0" w:color="auto"/>
              <w:left w:val="single" w:sz="4" w:space="0" w:color="auto"/>
              <w:bottom w:val="single" w:sz="4" w:space="0" w:color="auto"/>
              <w:right w:val="single" w:sz="4" w:space="0" w:color="auto"/>
            </w:tcBorders>
          </w:tcPr>
          <w:p w14:paraId="30296ADE" w14:textId="11744E11" w:rsidR="00583DE7" w:rsidRPr="00583DE7" w:rsidRDefault="00583DE7" w:rsidP="00583DE7">
            <w:pPr>
              <w:jc w:val="center"/>
              <w:rPr>
                <w:color w:val="000000"/>
                <w:sz w:val="22"/>
              </w:rPr>
            </w:pPr>
            <w:r w:rsidRPr="00583DE7">
              <w:rPr>
                <w:sz w:val="22"/>
              </w:rPr>
              <w:t>0</w:t>
            </w:r>
          </w:p>
        </w:tc>
        <w:tc>
          <w:tcPr>
            <w:tcW w:w="714" w:type="pct"/>
            <w:tcBorders>
              <w:top w:val="nil"/>
              <w:left w:val="single" w:sz="4" w:space="0" w:color="auto"/>
              <w:bottom w:val="single" w:sz="4" w:space="0" w:color="auto"/>
              <w:right w:val="single" w:sz="4" w:space="0" w:color="auto"/>
            </w:tcBorders>
            <w:shd w:val="clear" w:color="auto" w:fill="auto"/>
            <w:noWrap/>
          </w:tcPr>
          <w:p w14:paraId="3FF587B0" w14:textId="78722802" w:rsidR="00583DE7" w:rsidRPr="00583DE7" w:rsidRDefault="00583DE7" w:rsidP="00583DE7">
            <w:pPr>
              <w:jc w:val="center"/>
              <w:rPr>
                <w:color w:val="000000"/>
                <w:sz w:val="22"/>
              </w:rPr>
            </w:pPr>
            <w:r w:rsidRPr="00583DE7">
              <w:rPr>
                <w:sz w:val="22"/>
              </w:rPr>
              <w:t>0</w:t>
            </w:r>
          </w:p>
        </w:tc>
      </w:tr>
      <w:tr w:rsidR="00583DE7" w:rsidRPr="0039677D" w14:paraId="43ABCB42" w14:textId="77777777" w:rsidTr="00F9266F">
        <w:trPr>
          <w:trHeight w:val="288"/>
        </w:trPr>
        <w:tc>
          <w:tcPr>
            <w:tcW w:w="714" w:type="pct"/>
            <w:tcBorders>
              <w:top w:val="nil"/>
              <w:left w:val="single" w:sz="4" w:space="0" w:color="auto"/>
              <w:bottom w:val="single" w:sz="4" w:space="0" w:color="auto"/>
              <w:right w:val="single" w:sz="4" w:space="0" w:color="auto"/>
            </w:tcBorders>
            <w:shd w:val="clear" w:color="auto" w:fill="auto"/>
            <w:noWrap/>
            <w:vAlign w:val="center"/>
          </w:tcPr>
          <w:p w14:paraId="7E63EE35" w14:textId="77777777" w:rsidR="00583DE7" w:rsidRPr="00583DE7" w:rsidRDefault="00583DE7" w:rsidP="00583DE7">
            <w:pPr>
              <w:jc w:val="center"/>
              <w:rPr>
                <w:sz w:val="22"/>
              </w:rPr>
            </w:pPr>
            <w:r w:rsidRPr="00583DE7">
              <w:rPr>
                <w:sz w:val="22"/>
              </w:rPr>
              <w:t>2012</w:t>
            </w:r>
          </w:p>
        </w:tc>
        <w:tc>
          <w:tcPr>
            <w:tcW w:w="714" w:type="pct"/>
            <w:tcBorders>
              <w:top w:val="nil"/>
              <w:left w:val="nil"/>
              <w:bottom w:val="single" w:sz="4" w:space="0" w:color="auto"/>
              <w:right w:val="single" w:sz="4" w:space="0" w:color="auto"/>
            </w:tcBorders>
            <w:shd w:val="clear" w:color="auto" w:fill="auto"/>
            <w:noWrap/>
          </w:tcPr>
          <w:p w14:paraId="5AB652ED" w14:textId="17209B1C" w:rsidR="00583DE7" w:rsidRPr="00583DE7" w:rsidRDefault="00583DE7" w:rsidP="00583DE7">
            <w:pPr>
              <w:jc w:val="center"/>
              <w:rPr>
                <w:color w:val="000000"/>
                <w:sz w:val="22"/>
              </w:rPr>
            </w:pPr>
            <w:r w:rsidRPr="00583DE7">
              <w:rPr>
                <w:sz w:val="22"/>
              </w:rPr>
              <w:t>68,100</w:t>
            </w:r>
          </w:p>
        </w:tc>
        <w:tc>
          <w:tcPr>
            <w:tcW w:w="714" w:type="pct"/>
            <w:tcBorders>
              <w:top w:val="nil"/>
              <w:left w:val="nil"/>
              <w:bottom w:val="single" w:sz="4" w:space="0" w:color="auto"/>
              <w:right w:val="single" w:sz="4" w:space="0" w:color="auto"/>
            </w:tcBorders>
            <w:shd w:val="clear" w:color="auto" w:fill="auto"/>
            <w:noWrap/>
          </w:tcPr>
          <w:p w14:paraId="1F9828B0" w14:textId="554393F6" w:rsidR="00583DE7" w:rsidRPr="00583DE7" w:rsidRDefault="00583DE7" w:rsidP="00583DE7">
            <w:pPr>
              <w:jc w:val="center"/>
              <w:rPr>
                <w:color w:val="000000"/>
                <w:sz w:val="22"/>
                <w:highlight w:val="yellow"/>
              </w:rPr>
            </w:pPr>
            <w:r w:rsidRPr="00583DE7">
              <w:rPr>
                <w:sz w:val="22"/>
              </w:rPr>
              <w:t>11,100</w:t>
            </w:r>
          </w:p>
        </w:tc>
        <w:tc>
          <w:tcPr>
            <w:tcW w:w="714" w:type="pct"/>
            <w:tcBorders>
              <w:top w:val="single" w:sz="4" w:space="0" w:color="auto"/>
              <w:left w:val="nil"/>
              <w:bottom w:val="single" w:sz="4" w:space="0" w:color="auto"/>
              <w:right w:val="single" w:sz="4" w:space="0" w:color="auto"/>
            </w:tcBorders>
          </w:tcPr>
          <w:p w14:paraId="2B5DB291" w14:textId="641F582B" w:rsidR="00583DE7" w:rsidRPr="00583DE7" w:rsidRDefault="00583DE7" w:rsidP="00583DE7">
            <w:pPr>
              <w:jc w:val="center"/>
              <w:rPr>
                <w:color w:val="000000"/>
                <w:sz w:val="22"/>
              </w:rPr>
            </w:pPr>
            <w:r w:rsidRPr="00583DE7">
              <w:rPr>
                <w:sz w:val="22"/>
              </w:rPr>
              <w:t>57,000</w:t>
            </w:r>
          </w:p>
        </w:tc>
        <w:tc>
          <w:tcPr>
            <w:tcW w:w="714" w:type="pct"/>
            <w:tcBorders>
              <w:top w:val="single" w:sz="4" w:space="0" w:color="auto"/>
              <w:left w:val="single" w:sz="4" w:space="0" w:color="auto"/>
              <w:bottom w:val="single" w:sz="4" w:space="0" w:color="auto"/>
              <w:right w:val="single" w:sz="4" w:space="0" w:color="auto"/>
            </w:tcBorders>
          </w:tcPr>
          <w:p w14:paraId="44983B38" w14:textId="39A85714" w:rsidR="00583DE7" w:rsidRPr="00583DE7" w:rsidRDefault="00583DE7" w:rsidP="00583DE7">
            <w:pPr>
              <w:jc w:val="center"/>
              <w:rPr>
                <w:color w:val="000000"/>
                <w:sz w:val="22"/>
              </w:rPr>
            </w:pPr>
            <w:r w:rsidRPr="00583DE7">
              <w:rPr>
                <w:sz w:val="22"/>
              </w:rPr>
              <w:t>81,000</w:t>
            </w:r>
          </w:p>
        </w:tc>
        <w:tc>
          <w:tcPr>
            <w:tcW w:w="714" w:type="pct"/>
            <w:tcBorders>
              <w:top w:val="single" w:sz="4" w:space="0" w:color="auto"/>
              <w:left w:val="single" w:sz="4" w:space="0" w:color="auto"/>
              <w:bottom w:val="single" w:sz="4" w:space="0" w:color="auto"/>
              <w:right w:val="single" w:sz="4" w:space="0" w:color="auto"/>
            </w:tcBorders>
          </w:tcPr>
          <w:p w14:paraId="1F24A551" w14:textId="40955FCD" w:rsidR="00583DE7" w:rsidRPr="00583DE7" w:rsidRDefault="00583DE7" w:rsidP="00583DE7">
            <w:pPr>
              <w:jc w:val="center"/>
              <w:rPr>
                <w:color w:val="000000"/>
                <w:sz w:val="22"/>
              </w:rPr>
            </w:pPr>
            <w:r w:rsidRPr="00583DE7">
              <w:rPr>
                <w:sz w:val="22"/>
              </w:rPr>
              <w:t>40,900</w:t>
            </w:r>
          </w:p>
        </w:tc>
        <w:tc>
          <w:tcPr>
            <w:tcW w:w="714" w:type="pct"/>
            <w:tcBorders>
              <w:top w:val="nil"/>
              <w:left w:val="single" w:sz="4" w:space="0" w:color="auto"/>
              <w:bottom w:val="single" w:sz="4" w:space="0" w:color="auto"/>
              <w:right w:val="single" w:sz="4" w:space="0" w:color="auto"/>
            </w:tcBorders>
            <w:shd w:val="clear" w:color="auto" w:fill="auto"/>
            <w:noWrap/>
          </w:tcPr>
          <w:p w14:paraId="5BE6E353" w14:textId="4CAAAAC3" w:rsidR="00583DE7" w:rsidRPr="00583DE7" w:rsidRDefault="00583DE7" w:rsidP="00583DE7">
            <w:pPr>
              <w:jc w:val="center"/>
              <w:rPr>
                <w:color w:val="000000"/>
                <w:sz w:val="22"/>
              </w:rPr>
            </w:pPr>
            <w:r w:rsidRPr="00583DE7">
              <w:rPr>
                <w:sz w:val="22"/>
              </w:rPr>
              <w:t>40,600</w:t>
            </w:r>
          </w:p>
        </w:tc>
      </w:tr>
      <w:tr w:rsidR="00583DE7" w:rsidRPr="0039677D" w14:paraId="3A30D85C" w14:textId="77777777" w:rsidTr="00F9266F">
        <w:trPr>
          <w:trHeight w:val="288"/>
        </w:trPr>
        <w:tc>
          <w:tcPr>
            <w:tcW w:w="714" w:type="pct"/>
            <w:tcBorders>
              <w:top w:val="nil"/>
              <w:left w:val="single" w:sz="4" w:space="0" w:color="auto"/>
              <w:bottom w:val="single" w:sz="4" w:space="0" w:color="auto"/>
              <w:right w:val="single" w:sz="4" w:space="0" w:color="auto"/>
            </w:tcBorders>
            <w:shd w:val="clear" w:color="auto" w:fill="auto"/>
            <w:noWrap/>
            <w:vAlign w:val="center"/>
          </w:tcPr>
          <w:p w14:paraId="30A1703B" w14:textId="77777777" w:rsidR="00583DE7" w:rsidRPr="00583DE7" w:rsidRDefault="00583DE7" w:rsidP="00583DE7">
            <w:pPr>
              <w:jc w:val="center"/>
              <w:rPr>
                <w:sz w:val="22"/>
              </w:rPr>
            </w:pPr>
            <w:r w:rsidRPr="00583DE7">
              <w:rPr>
                <w:sz w:val="22"/>
              </w:rPr>
              <w:t>2013</w:t>
            </w:r>
          </w:p>
        </w:tc>
        <w:tc>
          <w:tcPr>
            <w:tcW w:w="714" w:type="pct"/>
            <w:tcBorders>
              <w:top w:val="nil"/>
              <w:left w:val="nil"/>
              <w:bottom w:val="single" w:sz="4" w:space="0" w:color="auto"/>
              <w:right w:val="single" w:sz="4" w:space="0" w:color="auto"/>
            </w:tcBorders>
            <w:shd w:val="clear" w:color="auto" w:fill="auto"/>
            <w:noWrap/>
          </w:tcPr>
          <w:p w14:paraId="3C5B4553" w14:textId="4223ABC9" w:rsidR="00583DE7" w:rsidRPr="00583DE7" w:rsidRDefault="00583DE7" w:rsidP="00583DE7">
            <w:pPr>
              <w:jc w:val="center"/>
              <w:rPr>
                <w:color w:val="000000"/>
                <w:sz w:val="22"/>
              </w:rPr>
            </w:pPr>
            <w:r w:rsidRPr="00583DE7">
              <w:rPr>
                <w:sz w:val="22"/>
              </w:rPr>
              <w:t>57,400</w:t>
            </w:r>
          </w:p>
        </w:tc>
        <w:tc>
          <w:tcPr>
            <w:tcW w:w="714" w:type="pct"/>
            <w:tcBorders>
              <w:top w:val="nil"/>
              <w:left w:val="nil"/>
              <w:bottom w:val="single" w:sz="4" w:space="0" w:color="auto"/>
              <w:right w:val="single" w:sz="4" w:space="0" w:color="auto"/>
            </w:tcBorders>
            <w:shd w:val="clear" w:color="auto" w:fill="auto"/>
            <w:noWrap/>
          </w:tcPr>
          <w:p w14:paraId="147F5C58" w14:textId="31CED09F" w:rsidR="00583DE7" w:rsidRPr="00583DE7" w:rsidRDefault="00583DE7" w:rsidP="00583DE7">
            <w:pPr>
              <w:jc w:val="center"/>
              <w:rPr>
                <w:color w:val="000000"/>
                <w:sz w:val="22"/>
                <w:highlight w:val="yellow"/>
              </w:rPr>
            </w:pPr>
            <w:r w:rsidRPr="00583DE7">
              <w:rPr>
                <w:sz w:val="22"/>
              </w:rPr>
              <w:t>5,400</w:t>
            </w:r>
          </w:p>
        </w:tc>
        <w:tc>
          <w:tcPr>
            <w:tcW w:w="714" w:type="pct"/>
            <w:tcBorders>
              <w:top w:val="single" w:sz="4" w:space="0" w:color="auto"/>
              <w:left w:val="nil"/>
              <w:bottom w:val="single" w:sz="4" w:space="0" w:color="auto"/>
              <w:right w:val="single" w:sz="4" w:space="0" w:color="auto"/>
            </w:tcBorders>
          </w:tcPr>
          <w:p w14:paraId="7506519D" w14:textId="63F94FE9" w:rsidR="00583DE7" w:rsidRPr="00583DE7" w:rsidRDefault="00583DE7" w:rsidP="00583DE7">
            <w:pPr>
              <w:jc w:val="center"/>
              <w:rPr>
                <w:color w:val="000000"/>
                <w:sz w:val="22"/>
              </w:rPr>
            </w:pPr>
            <w:r w:rsidRPr="00583DE7">
              <w:rPr>
                <w:sz w:val="22"/>
              </w:rPr>
              <w:t>52,000</w:t>
            </w:r>
          </w:p>
        </w:tc>
        <w:tc>
          <w:tcPr>
            <w:tcW w:w="714" w:type="pct"/>
            <w:tcBorders>
              <w:top w:val="single" w:sz="4" w:space="0" w:color="auto"/>
              <w:left w:val="single" w:sz="4" w:space="0" w:color="auto"/>
              <w:bottom w:val="single" w:sz="4" w:space="0" w:color="auto"/>
              <w:right w:val="single" w:sz="4" w:space="0" w:color="auto"/>
            </w:tcBorders>
          </w:tcPr>
          <w:p w14:paraId="0E75F657" w14:textId="11FF9D95" w:rsidR="00583DE7" w:rsidRPr="00583DE7" w:rsidRDefault="00583DE7" w:rsidP="00583DE7">
            <w:pPr>
              <w:jc w:val="center"/>
              <w:rPr>
                <w:color w:val="000000"/>
                <w:sz w:val="22"/>
              </w:rPr>
            </w:pPr>
            <w:r w:rsidRPr="00583DE7">
              <w:rPr>
                <w:sz w:val="22"/>
              </w:rPr>
              <w:t>74,600</w:t>
            </w:r>
          </w:p>
        </w:tc>
        <w:tc>
          <w:tcPr>
            <w:tcW w:w="714" w:type="pct"/>
            <w:tcBorders>
              <w:top w:val="single" w:sz="4" w:space="0" w:color="auto"/>
              <w:left w:val="single" w:sz="4" w:space="0" w:color="auto"/>
              <w:bottom w:val="single" w:sz="4" w:space="0" w:color="auto"/>
              <w:right w:val="single" w:sz="4" w:space="0" w:color="auto"/>
            </w:tcBorders>
          </w:tcPr>
          <w:p w14:paraId="5E781649" w14:textId="28B33741" w:rsidR="00583DE7" w:rsidRPr="00583DE7" w:rsidRDefault="00583DE7" w:rsidP="00583DE7">
            <w:pPr>
              <w:jc w:val="center"/>
              <w:rPr>
                <w:color w:val="000000"/>
                <w:sz w:val="22"/>
              </w:rPr>
            </w:pPr>
            <w:r w:rsidRPr="00583DE7">
              <w:rPr>
                <w:sz w:val="22"/>
              </w:rPr>
              <w:t>56,100</w:t>
            </w:r>
          </w:p>
        </w:tc>
        <w:tc>
          <w:tcPr>
            <w:tcW w:w="714" w:type="pct"/>
            <w:tcBorders>
              <w:top w:val="nil"/>
              <w:left w:val="single" w:sz="4" w:space="0" w:color="auto"/>
              <w:bottom w:val="single" w:sz="4" w:space="0" w:color="auto"/>
              <w:right w:val="single" w:sz="4" w:space="0" w:color="auto"/>
            </w:tcBorders>
            <w:shd w:val="clear" w:color="auto" w:fill="auto"/>
            <w:noWrap/>
          </w:tcPr>
          <w:p w14:paraId="3FFBCE94" w14:textId="1711A037" w:rsidR="00583DE7" w:rsidRPr="00583DE7" w:rsidRDefault="00583DE7" w:rsidP="00583DE7">
            <w:pPr>
              <w:jc w:val="center"/>
              <w:rPr>
                <w:color w:val="000000"/>
                <w:sz w:val="22"/>
              </w:rPr>
            </w:pPr>
            <w:r w:rsidRPr="00583DE7">
              <w:rPr>
                <w:sz w:val="22"/>
              </w:rPr>
              <w:t>29,000</w:t>
            </w:r>
          </w:p>
        </w:tc>
      </w:tr>
      <w:tr w:rsidR="00583DE7" w:rsidRPr="0039677D" w14:paraId="30A357F7" w14:textId="77777777" w:rsidTr="00F9266F">
        <w:trPr>
          <w:trHeight w:val="288"/>
        </w:trPr>
        <w:tc>
          <w:tcPr>
            <w:tcW w:w="714" w:type="pct"/>
            <w:tcBorders>
              <w:top w:val="nil"/>
              <w:left w:val="single" w:sz="4" w:space="0" w:color="auto"/>
              <w:bottom w:val="single" w:sz="4" w:space="0" w:color="auto"/>
              <w:right w:val="single" w:sz="4" w:space="0" w:color="auto"/>
            </w:tcBorders>
            <w:shd w:val="clear" w:color="auto" w:fill="auto"/>
            <w:noWrap/>
            <w:vAlign w:val="center"/>
          </w:tcPr>
          <w:p w14:paraId="7EE91E08" w14:textId="77777777" w:rsidR="00583DE7" w:rsidRPr="00583DE7" w:rsidRDefault="00583DE7" w:rsidP="00583DE7">
            <w:pPr>
              <w:jc w:val="center"/>
              <w:rPr>
                <w:sz w:val="22"/>
              </w:rPr>
            </w:pPr>
            <w:r w:rsidRPr="00583DE7">
              <w:rPr>
                <w:sz w:val="22"/>
              </w:rPr>
              <w:t>2014</w:t>
            </w:r>
          </w:p>
        </w:tc>
        <w:tc>
          <w:tcPr>
            <w:tcW w:w="714" w:type="pct"/>
            <w:tcBorders>
              <w:top w:val="nil"/>
              <w:left w:val="nil"/>
              <w:bottom w:val="single" w:sz="4" w:space="0" w:color="auto"/>
              <w:right w:val="single" w:sz="4" w:space="0" w:color="auto"/>
            </w:tcBorders>
            <w:shd w:val="clear" w:color="auto" w:fill="auto"/>
            <w:noWrap/>
          </w:tcPr>
          <w:p w14:paraId="5032063A" w14:textId="10B261EF" w:rsidR="00583DE7" w:rsidRPr="00583DE7" w:rsidRDefault="00583DE7" w:rsidP="00583DE7">
            <w:pPr>
              <w:jc w:val="center"/>
              <w:rPr>
                <w:color w:val="000000"/>
                <w:sz w:val="22"/>
              </w:rPr>
            </w:pPr>
            <w:r w:rsidRPr="00583DE7">
              <w:rPr>
                <w:sz w:val="22"/>
              </w:rPr>
              <w:t>82,600</w:t>
            </w:r>
          </w:p>
        </w:tc>
        <w:tc>
          <w:tcPr>
            <w:tcW w:w="714" w:type="pct"/>
            <w:tcBorders>
              <w:top w:val="nil"/>
              <w:left w:val="nil"/>
              <w:bottom w:val="single" w:sz="4" w:space="0" w:color="auto"/>
              <w:right w:val="single" w:sz="4" w:space="0" w:color="auto"/>
            </w:tcBorders>
            <w:shd w:val="clear" w:color="auto" w:fill="auto"/>
            <w:noWrap/>
          </w:tcPr>
          <w:p w14:paraId="2A25B983" w14:textId="5C463548" w:rsidR="00583DE7" w:rsidRPr="00583DE7" w:rsidRDefault="00583DE7" w:rsidP="00583DE7">
            <w:pPr>
              <w:jc w:val="center"/>
              <w:rPr>
                <w:color w:val="000000"/>
                <w:sz w:val="22"/>
                <w:highlight w:val="yellow"/>
              </w:rPr>
            </w:pPr>
            <w:r w:rsidRPr="00583DE7">
              <w:rPr>
                <w:sz w:val="22"/>
              </w:rPr>
              <w:t>6,400</w:t>
            </w:r>
          </w:p>
        </w:tc>
        <w:tc>
          <w:tcPr>
            <w:tcW w:w="714" w:type="pct"/>
            <w:tcBorders>
              <w:top w:val="single" w:sz="4" w:space="0" w:color="auto"/>
              <w:left w:val="nil"/>
              <w:bottom w:val="single" w:sz="4" w:space="0" w:color="auto"/>
              <w:right w:val="single" w:sz="4" w:space="0" w:color="auto"/>
            </w:tcBorders>
          </w:tcPr>
          <w:p w14:paraId="044A9349" w14:textId="495B4F60" w:rsidR="00583DE7" w:rsidRPr="00583DE7" w:rsidRDefault="00583DE7" w:rsidP="00583DE7">
            <w:pPr>
              <w:jc w:val="center"/>
              <w:rPr>
                <w:color w:val="000000"/>
                <w:sz w:val="22"/>
              </w:rPr>
            </w:pPr>
            <w:r w:rsidRPr="00583DE7">
              <w:rPr>
                <w:sz w:val="22"/>
              </w:rPr>
              <w:t>76,200</w:t>
            </w:r>
          </w:p>
        </w:tc>
        <w:tc>
          <w:tcPr>
            <w:tcW w:w="714" w:type="pct"/>
            <w:tcBorders>
              <w:top w:val="single" w:sz="4" w:space="0" w:color="auto"/>
              <w:left w:val="single" w:sz="4" w:space="0" w:color="auto"/>
              <w:bottom w:val="single" w:sz="4" w:space="0" w:color="auto"/>
              <w:right w:val="single" w:sz="4" w:space="0" w:color="auto"/>
            </w:tcBorders>
          </w:tcPr>
          <w:p w14:paraId="3C010FF1" w14:textId="736340DB" w:rsidR="00583DE7" w:rsidRPr="00583DE7" w:rsidRDefault="00583DE7" w:rsidP="00583DE7">
            <w:pPr>
              <w:jc w:val="center"/>
              <w:rPr>
                <w:color w:val="000000"/>
                <w:sz w:val="22"/>
              </w:rPr>
            </w:pPr>
            <w:r w:rsidRPr="00583DE7">
              <w:rPr>
                <w:sz w:val="22"/>
              </w:rPr>
              <w:t>45,800</w:t>
            </w:r>
          </w:p>
        </w:tc>
        <w:tc>
          <w:tcPr>
            <w:tcW w:w="714" w:type="pct"/>
            <w:tcBorders>
              <w:top w:val="single" w:sz="4" w:space="0" w:color="auto"/>
              <w:left w:val="single" w:sz="4" w:space="0" w:color="auto"/>
              <w:bottom w:val="single" w:sz="4" w:space="0" w:color="auto"/>
              <w:right w:val="single" w:sz="4" w:space="0" w:color="auto"/>
            </w:tcBorders>
          </w:tcPr>
          <w:p w14:paraId="0FCD61C7" w14:textId="63DD5BCC" w:rsidR="00583DE7" w:rsidRPr="00583DE7" w:rsidRDefault="00583DE7" w:rsidP="00583DE7">
            <w:pPr>
              <w:jc w:val="center"/>
              <w:rPr>
                <w:color w:val="000000"/>
                <w:sz w:val="22"/>
              </w:rPr>
            </w:pPr>
            <w:r w:rsidRPr="00583DE7">
              <w:rPr>
                <w:sz w:val="22"/>
              </w:rPr>
              <w:t>37,600</w:t>
            </w:r>
          </w:p>
        </w:tc>
        <w:tc>
          <w:tcPr>
            <w:tcW w:w="714" w:type="pct"/>
            <w:tcBorders>
              <w:top w:val="nil"/>
              <w:left w:val="single" w:sz="4" w:space="0" w:color="auto"/>
              <w:bottom w:val="single" w:sz="4" w:space="0" w:color="auto"/>
              <w:right w:val="single" w:sz="4" w:space="0" w:color="auto"/>
            </w:tcBorders>
            <w:shd w:val="clear" w:color="auto" w:fill="auto"/>
            <w:noWrap/>
          </w:tcPr>
          <w:p w14:paraId="552CBEDF" w14:textId="27419D87" w:rsidR="00583DE7" w:rsidRPr="00583DE7" w:rsidRDefault="00583DE7" w:rsidP="00583DE7">
            <w:pPr>
              <w:jc w:val="center"/>
              <w:rPr>
                <w:color w:val="000000"/>
                <w:sz w:val="22"/>
              </w:rPr>
            </w:pPr>
            <w:r w:rsidRPr="00583DE7">
              <w:rPr>
                <w:sz w:val="22"/>
              </w:rPr>
              <w:t>37,600</w:t>
            </w:r>
          </w:p>
        </w:tc>
      </w:tr>
      <w:tr w:rsidR="00583DE7" w:rsidRPr="0039677D" w14:paraId="5F2FDE25" w14:textId="77777777" w:rsidTr="00F9266F">
        <w:trPr>
          <w:trHeight w:val="288"/>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0572683D" w14:textId="77777777" w:rsidR="00583DE7" w:rsidRPr="00583DE7" w:rsidRDefault="00583DE7" w:rsidP="00583DE7">
            <w:pPr>
              <w:jc w:val="center"/>
              <w:rPr>
                <w:sz w:val="22"/>
              </w:rPr>
            </w:pPr>
            <w:r w:rsidRPr="00583DE7">
              <w:rPr>
                <w:sz w:val="22"/>
              </w:rPr>
              <w:t>2015</w:t>
            </w:r>
          </w:p>
        </w:tc>
        <w:tc>
          <w:tcPr>
            <w:tcW w:w="714" w:type="pct"/>
            <w:tcBorders>
              <w:top w:val="nil"/>
              <w:left w:val="nil"/>
              <w:bottom w:val="single" w:sz="4" w:space="0" w:color="auto"/>
              <w:right w:val="single" w:sz="4" w:space="0" w:color="auto"/>
            </w:tcBorders>
            <w:shd w:val="clear" w:color="auto" w:fill="auto"/>
            <w:noWrap/>
          </w:tcPr>
          <w:p w14:paraId="1115A6E8" w14:textId="41D54419" w:rsidR="00583DE7" w:rsidRPr="00583DE7" w:rsidRDefault="00583DE7" w:rsidP="00583DE7">
            <w:pPr>
              <w:jc w:val="center"/>
              <w:rPr>
                <w:color w:val="000000"/>
                <w:sz w:val="22"/>
              </w:rPr>
            </w:pPr>
            <w:r w:rsidRPr="00583DE7">
              <w:rPr>
                <w:sz w:val="22"/>
              </w:rPr>
              <w:t>88,000</w:t>
            </w:r>
          </w:p>
        </w:tc>
        <w:tc>
          <w:tcPr>
            <w:tcW w:w="714" w:type="pct"/>
            <w:tcBorders>
              <w:top w:val="nil"/>
              <w:left w:val="nil"/>
              <w:bottom w:val="single" w:sz="4" w:space="0" w:color="auto"/>
              <w:right w:val="single" w:sz="4" w:space="0" w:color="auto"/>
            </w:tcBorders>
            <w:shd w:val="clear" w:color="auto" w:fill="auto"/>
            <w:noWrap/>
          </w:tcPr>
          <w:p w14:paraId="06B0D559" w14:textId="46486D16" w:rsidR="00583DE7" w:rsidRPr="00583DE7" w:rsidRDefault="00583DE7" w:rsidP="00583DE7">
            <w:pPr>
              <w:jc w:val="center"/>
              <w:rPr>
                <w:color w:val="000000"/>
                <w:sz w:val="22"/>
                <w:highlight w:val="yellow"/>
              </w:rPr>
            </w:pPr>
            <w:r w:rsidRPr="00583DE7">
              <w:rPr>
                <w:sz w:val="22"/>
              </w:rPr>
              <w:t>9,300</w:t>
            </w:r>
          </w:p>
        </w:tc>
        <w:tc>
          <w:tcPr>
            <w:tcW w:w="714" w:type="pct"/>
            <w:tcBorders>
              <w:top w:val="single" w:sz="4" w:space="0" w:color="auto"/>
              <w:left w:val="nil"/>
              <w:bottom w:val="single" w:sz="4" w:space="0" w:color="auto"/>
              <w:right w:val="single" w:sz="4" w:space="0" w:color="auto"/>
            </w:tcBorders>
          </w:tcPr>
          <w:p w14:paraId="48F55A40" w14:textId="52150993" w:rsidR="00583DE7" w:rsidRPr="00583DE7" w:rsidRDefault="00583DE7" w:rsidP="00583DE7">
            <w:pPr>
              <w:jc w:val="center"/>
              <w:rPr>
                <w:color w:val="000000"/>
                <w:sz w:val="22"/>
              </w:rPr>
            </w:pPr>
            <w:r w:rsidRPr="00583DE7">
              <w:rPr>
                <w:sz w:val="22"/>
              </w:rPr>
              <w:t>78,700</w:t>
            </w:r>
          </w:p>
        </w:tc>
        <w:tc>
          <w:tcPr>
            <w:tcW w:w="714" w:type="pct"/>
            <w:tcBorders>
              <w:top w:val="single" w:sz="4" w:space="0" w:color="auto"/>
              <w:left w:val="single" w:sz="4" w:space="0" w:color="auto"/>
              <w:bottom w:val="single" w:sz="4" w:space="0" w:color="auto"/>
              <w:right w:val="single" w:sz="4" w:space="0" w:color="auto"/>
            </w:tcBorders>
          </w:tcPr>
          <w:p w14:paraId="07941575" w14:textId="545115B4" w:rsidR="00583DE7" w:rsidRPr="00583DE7" w:rsidRDefault="00583DE7" w:rsidP="00583DE7">
            <w:pPr>
              <w:jc w:val="center"/>
              <w:rPr>
                <w:color w:val="000000"/>
                <w:sz w:val="22"/>
              </w:rPr>
            </w:pPr>
            <w:r w:rsidRPr="00583DE7">
              <w:rPr>
                <w:sz w:val="22"/>
              </w:rPr>
              <w:t>51,500</w:t>
            </w:r>
          </w:p>
        </w:tc>
        <w:tc>
          <w:tcPr>
            <w:tcW w:w="714" w:type="pct"/>
            <w:tcBorders>
              <w:top w:val="single" w:sz="4" w:space="0" w:color="auto"/>
              <w:left w:val="single" w:sz="4" w:space="0" w:color="auto"/>
              <w:bottom w:val="single" w:sz="4" w:space="0" w:color="auto"/>
              <w:right w:val="single" w:sz="4" w:space="0" w:color="auto"/>
            </w:tcBorders>
          </w:tcPr>
          <w:p w14:paraId="5707D290" w14:textId="203188C4" w:rsidR="00583DE7" w:rsidRPr="00583DE7" w:rsidRDefault="00583DE7" w:rsidP="00583DE7">
            <w:pPr>
              <w:jc w:val="center"/>
              <w:rPr>
                <w:color w:val="000000"/>
                <w:sz w:val="22"/>
              </w:rPr>
            </w:pPr>
            <w:r w:rsidRPr="00583DE7">
              <w:rPr>
                <w:sz w:val="22"/>
              </w:rPr>
              <w:t>43,500</w:t>
            </w:r>
          </w:p>
        </w:tc>
        <w:tc>
          <w:tcPr>
            <w:tcW w:w="714" w:type="pct"/>
            <w:tcBorders>
              <w:top w:val="nil"/>
              <w:left w:val="single" w:sz="4" w:space="0" w:color="auto"/>
              <w:bottom w:val="single" w:sz="4" w:space="0" w:color="auto"/>
              <w:right w:val="single" w:sz="4" w:space="0" w:color="auto"/>
            </w:tcBorders>
            <w:shd w:val="clear" w:color="auto" w:fill="auto"/>
            <w:noWrap/>
          </w:tcPr>
          <w:p w14:paraId="6225CCD4" w14:textId="0D04A1BC" w:rsidR="00583DE7" w:rsidRPr="00583DE7" w:rsidRDefault="00583DE7" w:rsidP="00583DE7">
            <w:pPr>
              <w:jc w:val="center"/>
              <w:rPr>
                <w:color w:val="000000"/>
                <w:sz w:val="22"/>
              </w:rPr>
            </w:pPr>
            <w:r w:rsidRPr="00583DE7">
              <w:rPr>
                <w:sz w:val="22"/>
              </w:rPr>
              <w:t>42,600</w:t>
            </w:r>
          </w:p>
        </w:tc>
      </w:tr>
      <w:tr w:rsidR="00583DE7" w:rsidRPr="0039677D" w14:paraId="5EC5DAEE" w14:textId="77777777" w:rsidTr="00F9266F">
        <w:trPr>
          <w:trHeight w:val="288"/>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4A6A1851" w14:textId="77777777" w:rsidR="00583DE7" w:rsidRPr="00583DE7" w:rsidRDefault="00583DE7" w:rsidP="00583DE7">
            <w:pPr>
              <w:jc w:val="center"/>
              <w:rPr>
                <w:sz w:val="22"/>
              </w:rPr>
            </w:pPr>
            <w:r w:rsidRPr="00583DE7">
              <w:rPr>
                <w:sz w:val="22"/>
              </w:rPr>
              <w:t>2016</w:t>
            </w:r>
          </w:p>
        </w:tc>
        <w:tc>
          <w:tcPr>
            <w:tcW w:w="714" w:type="pct"/>
            <w:tcBorders>
              <w:top w:val="nil"/>
              <w:left w:val="nil"/>
              <w:bottom w:val="single" w:sz="4" w:space="0" w:color="auto"/>
              <w:right w:val="single" w:sz="4" w:space="0" w:color="auto"/>
            </w:tcBorders>
            <w:shd w:val="clear" w:color="auto" w:fill="auto"/>
            <w:noWrap/>
          </w:tcPr>
          <w:p w14:paraId="6333C453" w14:textId="4BAE5456" w:rsidR="00583DE7" w:rsidRPr="00583DE7" w:rsidRDefault="00583DE7" w:rsidP="00583DE7">
            <w:pPr>
              <w:jc w:val="center"/>
              <w:rPr>
                <w:color w:val="000000"/>
                <w:sz w:val="22"/>
              </w:rPr>
            </w:pPr>
            <w:r w:rsidRPr="00583DE7">
              <w:rPr>
                <w:sz w:val="22"/>
              </w:rPr>
              <w:t>87,400</w:t>
            </w:r>
          </w:p>
        </w:tc>
        <w:tc>
          <w:tcPr>
            <w:tcW w:w="714" w:type="pct"/>
            <w:tcBorders>
              <w:top w:val="nil"/>
              <w:left w:val="nil"/>
              <w:bottom w:val="single" w:sz="4" w:space="0" w:color="auto"/>
              <w:right w:val="single" w:sz="4" w:space="0" w:color="auto"/>
            </w:tcBorders>
            <w:shd w:val="clear" w:color="auto" w:fill="auto"/>
            <w:noWrap/>
          </w:tcPr>
          <w:p w14:paraId="53FF8961" w14:textId="10CEBAA4" w:rsidR="00583DE7" w:rsidRPr="00583DE7" w:rsidRDefault="00583DE7" w:rsidP="00583DE7">
            <w:pPr>
              <w:jc w:val="center"/>
              <w:rPr>
                <w:color w:val="000000"/>
                <w:sz w:val="22"/>
              </w:rPr>
            </w:pPr>
            <w:r w:rsidRPr="00583DE7">
              <w:rPr>
                <w:sz w:val="22"/>
              </w:rPr>
              <w:t>43,700</w:t>
            </w:r>
          </w:p>
        </w:tc>
        <w:tc>
          <w:tcPr>
            <w:tcW w:w="714" w:type="pct"/>
            <w:tcBorders>
              <w:top w:val="single" w:sz="4" w:space="0" w:color="auto"/>
              <w:left w:val="nil"/>
              <w:bottom w:val="single" w:sz="4" w:space="0" w:color="auto"/>
              <w:right w:val="single" w:sz="4" w:space="0" w:color="auto"/>
            </w:tcBorders>
          </w:tcPr>
          <w:p w14:paraId="0D46374B" w14:textId="193B6EF3" w:rsidR="00583DE7" w:rsidRPr="00583DE7" w:rsidRDefault="00583DE7" w:rsidP="00583DE7">
            <w:pPr>
              <w:jc w:val="center"/>
              <w:rPr>
                <w:color w:val="000000"/>
                <w:sz w:val="22"/>
              </w:rPr>
            </w:pPr>
            <w:r w:rsidRPr="00583DE7">
              <w:rPr>
                <w:sz w:val="22"/>
              </w:rPr>
              <w:t>43,700</w:t>
            </w:r>
          </w:p>
        </w:tc>
        <w:tc>
          <w:tcPr>
            <w:tcW w:w="714" w:type="pct"/>
            <w:tcBorders>
              <w:top w:val="single" w:sz="4" w:space="0" w:color="auto"/>
              <w:left w:val="single" w:sz="4" w:space="0" w:color="auto"/>
              <w:bottom w:val="single" w:sz="4" w:space="0" w:color="auto"/>
              <w:right w:val="single" w:sz="4" w:space="0" w:color="auto"/>
            </w:tcBorders>
          </w:tcPr>
          <w:p w14:paraId="59C3DEAF" w14:textId="0851233D" w:rsidR="00583DE7" w:rsidRPr="00583DE7" w:rsidRDefault="00583DE7" w:rsidP="00583DE7">
            <w:pPr>
              <w:jc w:val="center"/>
              <w:rPr>
                <w:color w:val="000000"/>
                <w:sz w:val="22"/>
              </w:rPr>
            </w:pPr>
            <w:r w:rsidRPr="00583DE7">
              <w:rPr>
                <w:sz w:val="22"/>
              </w:rPr>
              <w:t>23,300</w:t>
            </w:r>
          </w:p>
        </w:tc>
        <w:tc>
          <w:tcPr>
            <w:tcW w:w="714" w:type="pct"/>
            <w:tcBorders>
              <w:top w:val="single" w:sz="4" w:space="0" w:color="auto"/>
              <w:left w:val="single" w:sz="4" w:space="0" w:color="auto"/>
              <w:bottom w:val="single" w:sz="4" w:space="0" w:color="auto"/>
              <w:right w:val="single" w:sz="4" w:space="0" w:color="auto"/>
            </w:tcBorders>
          </w:tcPr>
          <w:p w14:paraId="4A42C062" w14:textId="39CF28CE" w:rsidR="00583DE7" w:rsidRPr="00583DE7" w:rsidRDefault="00583DE7" w:rsidP="00583DE7">
            <w:pPr>
              <w:jc w:val="center"/>
              <w:rPr>
                <w:color w:val="000000"/>
                <w:sz w:val="22"/>
              </w:rPr>
            </w:pPr>
            <w:r w:rsidRPr="00583DE7">
              <w:rPr>
                <w:sz w:val="22"/>
              </w:rPr>
              <w:t>18,200</w:t>
            </w:r>
          </w:p>
        </w:tc>
        <w:tc>
          <w:tcPr>
            <w:tcW w:w="714" w:type="pct"/>
            <w:tcBorders>
              <w:top w:val="nil"/>
              <w:left w:val="single" w:sz="4" w:space="0" w:color="auto"/>
              <w:bottom w:val="single" w:sz="4" w:space="0" w:color="auto"/>
              <w:right w:val="single" w:sz="4" w:space="0" w:color="auto"/>
            </w:tcBorders>
            <w:shd w:val="clear" w:color="auto" w:fill="auto"/>
            <w:noWrap/>
          </w:tcPr>
          <w:p w14:paraId="7DDB3D26" w14:textId="20D51D8F" w:rsidR="00583DE7" w:rsidRPr="00583DE7" w:rsidRDefault="00583DE7" w:rsidP="00583DE7">
            <w:pPr>
              <w:jc w:val="center"/>
              <w:rPr>
                <w:color w:val="000000"/>
                <w:sz w:val="22"/>
              </w:rPr>
            </w:pPr>
            <w:r w:rsidRPr="00583DE7">
              <w:rPr>
                <w:sz w:val="22"/>
              </w:rPr>
              <w:t>15,700</w:t>
            </w:r>
          </w:p>
        </w:tc>
      </w:tr>
      <w:tr w:rsidR="00583DE7" w:rsidRPr="0039677D" w14:paraId="58B7A4BB" w14:textId="77777777" w:rsidTr="00F9266F">
        <w:trPr>
          <w:trHeight w:val="288"/>
        </w:trPr>
        <w:tc>
          <w:tcPr>
            <w:tcW w:w="714" w:type="pct"/>
            <w:tcBorders>
              <w:top w:val="nil"/>
              <w:left w:val="single" w:sz="4" w:space="0" w:color="auto"/>
              <w:bottom w:val="single" w:sz="4" w:space="0" w:color="auto"/>
              <w:right w:val="single" w:sz="4" w:space="0" w:color="auto"/>
            </w:tcBorders>
            <w:shd w:val="clear" w:color="auto" w:fill="auto"/>
            <w:noWrap/>
            <w:vAlign w:val="center"/>
            <w:hideMark/>
          </w:tcPr>
          <w:p w14:paraId="676CCDAD" w14:textId="77777777" w:rsidR="00583DE7" w:rsidRPr="00583DE7" w:rsidRDefault="00583DE7" w:rsidP="00583DE7">
            <w:pPr>
              <w:jc w:val="center"/>
              <w:rPr>
                <w:sz w:val="22"/>
              </w:rPr>
            </w:pPr>
            <w:r w:rsidRPr="00583DE7">
              <w:rPr>
                <w:sz w:val="22"/>
              </w:rPr>
              <w:t>2017</w:t>
            </w:r>
          </w:p>
        </w:tc>
        <w:tc>
          <w:tcPr>
            <w:tcW w:w="714" w:type="pct"/>
            <w:tcBorders>
              <w:top w:val="nil"/>
              <w:left w:val="nil"/>
              <w:bottom w:val="single" w:sz="4" w:space="0" w:color="auto"/>
              <w:right w:val="single" w:sz="4" w:space="0" w:color="auto"/>
            </w:tcBorders>
            <w:shd w:val="clear" w:color="auto" w:fill="auto"/>
            <w:noWrap/>
          </w:tcPr>
          <w:p w14:paraId="541B514B" w14:textId="4C927651" w:rsidR="00583DE7" w:rsidRPr="00583DE7" w:rsidRDefault="00583DE7" w:rsidP="00583DE7">
            <w:pPr>
              <w:jc w:val="center"/>
              <w:rPr>
                <w:color w:val="000000"/>
                <w:sz w:val="22"/>
              </w:rPr>
            </w:pPr>
            <w:r w:rsidRPr="00583DE7">
              <w:rPr>
                <w:sz w:val="22"/>
              </w:rPr>
              <w:t>95,200</w:t>
            </w:r>
          </w:p>
        </w:tc>
        <w:tc>
          <w:tcPr>
            <w:tcW w:w="714" w:type="pct"/>
            <w:tcBorders>
              <w:top w:val="nil"/>
              <w:left w:val="nil"/>
              <w:bottom w:val="single" w:sz="4" w:space="0" w:color="auto"/>
              <w:right w:val="single" w:sz="4" w:space="0" w:color="auto"/>
            </w:tcBorders>
            <w:shd w:val="clear" w:color="auto" w:fill="auto"/>
            <w:noWrap/>
          </w:tcPr>
          <w:p w14:paraId="370A9638" w14:textId="70E7279E" w:rsidR="00583DE7" w:rsidRPr="00583DE7" w:rsidRDefault="00583DE7" w:rsidP="00583DE7">
            <w:pPr>
              <w:jc w:val="center"/>
              <w:rPr>
                <w:color w:val="000000"/>
                <w:sz w:val="22"/>
              </w:rPr>
            </w:pPr>
            <w:r w:rsidRPr="00583DE7">
              <w:rPr>
                <w:sz w:val="22"/>
              </w:rPr>
              <w:t>7,500</w:t>
            </w:r>
          </w:p>
        </w:tc>
        <w:tc>
          <w:tcPr>
            <w:tcW w:w="714" w:type="pct"/>
            <w:tcBorders>
              <w:top w:val="single" w:sz="4" w:space="0" w:color="auto"/>
              <w:left w:val="nil"/>
              <w:bottom w:val="single" w:sz="4" w:space="0" w:color="auto"/>
              <w:right w:val="single" w:sz="4" w:space="0" w:color="auto"/>
            </w:tcBorders>
          </w:tcPr>
          <w:p w14:paraId="2C31B25E" w14:textId="4C59C120" w:rsidR="00583DE7" w:rsidRPr="00583DE7" w:rsidRDefault="00583DE7" w:rsidP="00583DE7">
            <w:pPr>
              <w:jc w:val="center"/>
              <w:rPr>
                <w:color w:val="000000"/>
                <w:sz w:val="22"/>
              </w:rPr>
            </w:pPr>
            <w:r w:rsidRPr="00583DE7">
              <w:rPr>
                <w:sz w:val="22"/>
              </w:rPr>
              <w:t>87,600</w:t>
            </w:r>
          </w:p>
        </w:tc>
        <w:tc>
          <w:tcPr>
            <w:tcW w:w="714" w:type="pct"/>
            <w:tcBorders>
              <w:top w:val="single" w:sz="4" w:space="0" w:color="auto"/>
              <w:left w:val="single" w:sz="4" w:space="0" w:color="auto"/>
              <w:bottom w:val="single" w:sz="4" w:space="0" w:color="auto"/>
              <w:right w:val="single" w:sz="4" w:space="0" w:color="auto"/>
            </w:tcBorders>
          </w:tcPr>
          <w:p w14:paraId="099499B1" w14:textId="477638D0" w:rsidR="00583DE7" w:rsidRPr="00583DE7" w:rsidRDefault="00583DE7" w:rsidP="00583DE7">
            <w:pPr>
              <w:jc w:val="center"/>
              <w:rPr>
                <w:color w:val="000000"/>
                <w:sz w:val="22"/>
              </w:rPr>
            </w:pPr>
            <w:r w:rsidRPr="00583DE7">
              <w:rPr>
                <w:sz w:val="22"/>
              </w:rPr>
              <w:t>142,300</w:t>
            </w:r>
          </w:p>
        </w:tc>
        <w:tc>
          <w:tcPr>
            <w:tcW w:w="714" w:type="pct"/>
            <w:tcBorders>
              <w:top w:val="single" w:sz="4" w:space="0" w:color="auto"/>
              <w:left w:val="single" w:sz="4" w:space="0" w:color="auto"/>
              <w:bottom w:val="single" w:sz="4" w:space="0" w:color="auto"/>
              <w:right w:val="single" w:sz="4" w:space="0" w:color="auto"/>
            </w:tcBorders>
          </w:tcPr>
          <w:p w14:paraId="24D8D11A" w14:textId="2C361EC9" w:rsidR="00583DE7" w:rsidRPr="00583DE7" w:rsidRDefault="00583DE7" w:rsidP="00583DE7">
            <w:pPr>
              <w:jc w:val="center"/>
              <w:rPr>
                <w:color w:val="000000"/>
                <w:sz w:val="22"/>
              </w:rPr>
            </w:pPr>
            <w:r w:rsidRPr="00583DE7">
              <w:rPr>
                <w:sz w:val="22"/>
              </w:rPr>
              <w:t>123,300</w:t>
            </w:r>
          </w:p>
        </w:tc>
        <w:tc>
          <w:tcPr>
            <w:tcW w:w="714" w:type="pct"/>
            <w:tcBorders>
              <w:top w:val="nil"/>
              <w:left w:val="single" w:sz="4" w:space="0" w:color="auto"/>
              <w:bottom w:val="single" w:sz="4" w:space="0" w:color="auto"/>
              <w:right w:val="single" w:sz="4" w:space="0" w:color="auto"/>
            </w:tcBorders>
            <w:shd w:val="clear" w:color="auto" w:fill="auto"/>
            <w:noWrap/>
          </w:tcPr>
          <w:p w14:paraId="2CDA95F5" w14:textId="6280662B" w:rsidR="00583DE7" w:rsidRPr="00583DE7" w:rsidRDefault="00583DE7" w:rsidP="00583DE7">
            <w:pPr>
              <w:jc w:val="center"/>
              <w:rPr>
                <w:color w:val="000000"/>
                <w:sz w:val="22"/>
              </w:rPr>
            </w:pPr>
            <w:r w:rsidRPr="00583DE7">
              <w:rPr>
                <w:sz w:val="22"/>
              </w:rPr>
              <w:t>97,200</w:t>
            </w:r>
          </w:p>
        </w:tc>
      </w:tr>
      <w:tr w:rsidR="00394838" w:rsidRPr="0039677D" w14:paraId="23260FAC" w14:textId="77777777" w:rsidTr="00394838">
        <w:trPr>
          <w:trHeight w:val="288"/>
        </w:trPr>
        <w:tc>
          <w:tcPr>
            <w:tcW w:w="714" w:type="pct"/>
            <w:tcBorders>
              <w:top w:val="nil"/>
              <w:left w:val="single" w:sz="4" w:space="0" w:color="auto"/>
              <w:bottom w:val="single" w:sz="4" w:space="0" w:color="auto"/>
              <w:right w:val="single" w:sz="4" w:space="0" w:color="auto"/>
            </w:tcBorders>
            <w:shd w:val="clear" w:color="auto" w:fill="auto"/>
            <w:noWrap/>
          </w:tcPr>
          <w:p w14:paraId="140D773E" w14:textId="79935FF4" w:rsidR="00394838" w:rsidRPr="00394838" w:rsidRDefault="00394838" w:rsidP="00394838">
            <w:pPr>
              <w:jc w:val="center"/>
              <w:rPr>
                <w:sz w:val="22"/>
              </w:rPr>
            </w:pPr>
            <w:r w:rsidRPr="00394838">
              <w:rPr>
                <w:sz w:val="22"/>
              </w:rPr>
              <w:t>2018</w:t>
            </w:r>
          </w:p>
        </w:tc>
        <w:tc>
          <w:tcPr>
            <w:tcW w:w="714" w:type="pct"/>
            <w:tcBorders>
              <w:top w:val="nil"/>
              <w:left w:val="nil"/>
              <w:bottom w:val="single" w:sz="4" w:space="0" w:color="auto"/>
              <w:right w:val="single" w:sz="4" w:space="0" w:color="auto"/>
            </w:tcBorders>
            <w:shd w:val="clear" w:color="auto" w:fill="auto"/>
            <w:noWrap/>
          </w:tcPr>
          <w:p w14:paraId="63A4345A" w14:textId="25D51AF7" w:rsidR="00394838" w:rsidRPr="00394838" w:rsidRDefault="00394838" w:rsidP="00394838">
            <w:pPr>
              <w:jc w:val="center"/>
              <w:rPr>
                <w:sz w:val="22"/>
              </w:rPr>
            </w:pPr>
            <w:r w:rsidRPr="00394838">
              <w:rPr>
                <w:sz w:val="22"/>
              </w:rPr>
              <w:t>87,800</w:t>
            </w:r>
          </w:p>
        </w:tc>
        <w:tc>
          <w:tcPr>
            <w:tcW w:w="714" w:type="pct"/>
            <w:tcBorders>
              <w:top w:val="nil"/>
              <w:left w:val="nil"/>
              <w:bottom w:val="single" w:sz="4" w:space="0" w:color="auto"/>
              <w:right w:val="single" w:sz="4" w:space="0" w:color="auto"/>
            </w:tcBorders>
            <w:shd w:val="clear" w:color="auto" w:fill="auto"/>
            <w:noWrap/>
          </w:tcPr>
          <w:p w14:paraId="2D794EB1" w14:textId="7B782B00" w:rsidR="00394838" w:rsidRPr="00394838" w:rsidRDefault="00394838" w:rsidP="00394838">
            <w:pPr>
              <w:jc w:val="center"/>
              <w:rPr>
                <w:sz w:val="22"/>
              </w:rPr>
            </w:pPr>
            <w:r w:rsidRPr="00394838">
              <w:rPr>
                <w:sz w:val="22"/>
              </w:rPr>
              <w:t>6,000</w:t>
            </w:r>
          </w:p>
        </w:tc>
        <w:tc>
          <w:tcPr>
            <w:tcW w:w="714" w:type="pct"/>
            <w:tcBorders>
              <w:top w:val="single" w:sz="4" w:space="0" w:color="auto"/>
              <w:left w:val="nil"/>
              <w:bottom w:val="single" w:sz="4" w:space="0" w:color="auto"/>
              <w:right w:val="single" w:sz="4" w:space="0" w:color="auto"/>
            </w:tcBorders>
          </w:tcPr>
          <w:p w14:paraId="21CCA8A8" w14:textId="4C16A4D2" w:rsidR="00394838" w:rsidRPr="00394838" w:rsidRDefault="00394838" w:rsidP="00394838">
            <w:pPr>
              <w:jc w:val="center"/>
              <w:rPr>
                <w:sz w:val="22"/>
              </w:rPr>
            </w:pPr>
            <w:r w:rsidRPr="00394838">
              <w:rPr>
                <w:sz w:val="22"/>
              </w:rPr>
              <w:t>81,800</w:t>
            </w:r>
          </w:p>
        </w:tc>
        <w:tc>
          <w:tcPr>
            <w:tcW w:w="714" w:type="pct"/>
            <w:tcBorders>
              <w:top w:val="single" w:sz="4" w:space="0" w:color="auto"/>
              <w:left w:val="single" w:sz="4" w:space="0" w:color="auto"/>
              <w:bottom w:val="single" w:sz="4" w:space="0" w:color="auto"/>
              <w:right w:val="single" w:sz="4" w:space="0" w:color="auto"/>
            </w:tcBorders>
          </w:tcPr>
          <w:p w14:paraId="436EEC07" w14:textId="1BBDF604" w:rsidR="00394838" w:rsidRPr="00394838" w:rsidRDefault="00394838" w:rsidP="00394838">
            <w:pPr>
              <w:jc w:val="center"/>
              <w:rPr>
                <w:sz w:val="22"/>
              </w:rPr>
            </w:pPr>
            <w:r w:rsidRPr="00394838">
              <w:rPr>
                <w:sz w:val="22"/>
              </w:rPr>
              <w:t>89,300</w:t>
            </w:r>
          </w:p>
        </w:tc>
        <w:tc>
          <w:tcPr>
            <w:tcW w:w="714" w:type="pct"/>
            <w:tcBorders>
              <w:top w:val="single" w:sz="4" w:space="0" w:color="auto"/>
              <w:left w:val="single" w:sz="4" w:space="0" w:color="auto"/>
              <w:bottom w:val="single" w:sz="4" w:space="0" w:color="auto"/>
              <w:right w:val="single" w:sz="4" w:space="0" w:color="auto"/>
            </w:tcBorders>
          </w:tcPr>
          <w:p w14:paraId="1161AED3" w14:textId="71A2ABE1" w:rsidR="00394838" w:rsidRPr="00394838" w:rsidRDefault="00394838" w:rsidP="00394838">
            <w:pPr>
              <w:jc w:val="center"/>
              <w:rPr>
                <w:sz w:val="22"/>
              </w:rPr>
            </w:pPr>
            <w:r w:rsidRPr="00394838">
              <w:rPr>
                <w:sz w:val="22"/>
              </w:rPr>
              <w:t>74,600</w:t>
            </w:r>
          </w:p>
        </w:tc>
        <w:tc>
          <w:tcPr>
            <w:tcW w:w="714" w:type="pct"/>
            <w:tcBorders>
              <w:top w:val="nil"/>
              <w:left w:val="single" w:sz="4" w:space="0" w:color="auto"/>
              <w:bottom w:val="single" w:sz="4" w:space="0" w:color="auto"/>
              <w:right w:val="single" w:sz="4" w:space="0" w:color="auto"/>
            </w:tcBorders>
            <w:shd w:val="clear" w:color="auto" w:fill="auto"/>
            <w:noWrap/>
          </w:tcPr>
          <w:p w14:paraId="6B7C85CE" w14:textId="08A8C94F" w:rsidR="00394838" w:rsidRPr="00394838" w:rsidRDefault="00394838" w:rsidP="00394838">
            <w:pPr>
              <w:jc w:val="center"/>
              <w:rPr>
                <w:sz w:val="22"/>
              </w:rPr>
            </w:pPr>
            <w:r w:rsidRPr="00394838">
              <w:rPr>
                <w:sz w:val="22"/>
              </w:rPr>
              <w:t>73,300</w:t>
            </w:r>
          </w:p>
        </w:tc>
      </w:tr>
      <w:tr w:rsidR="00394838" w:rsidRPr="0039677D" w14:paraId="0C36C6BA" w14:textId="77777777" w:rsidTr="00394838">
        <w:trPr>
          <w:trHeight w:val="288"/>
        </w:trPr>
        <w:tc>
          <w:tcPr>
            <w:tcW w:w="714" w:type="pct"/>
            <w:tcBorders>
              <w:top w:val="nil"/>
              <w:left w:val="single" w:sz="4" w:space="0" w:color="auto"/>
              <w:bottom w:val="single" w:sz="4" w:space="0" w:color="auto"/>
              <w:right w:val="single" w:sz="4" w:space="0" w:color="auto"/>
            </w:tcBorders>
            <w:shd w:val="clear" w:color="auto" w:fill="BFBFBF" w:themeFill="background1" w:themeFillShade="BF"/>
            <w:noWrap/>
            <w:hideMark/>
          </w:tcPr>
          <w:p w14:paraId="183773C6" w14:textId="6193B63E" w:rsidR="00394838" w:rsidRPr="00394838" w:rsidRDefault="00394838" w:rsidP="00394838">
            <w:pPr>
              <w:jc w:val="center"/>
              <w:rPr>
                <w:b/>
                <w:bCs/>
                <w:color w:val="000000"/>
                <w:sz w:val="22"/>
              </w:rPr>
            </w:pPr>
            <w:r w:rsidRPr="00394838">
              <w:rPr>
                <w:b/>
                <w:sz w:val="22"/>
              </w:rPr>
              <w:t>Total, 2007-2018</w:t>
            </w:r>
          </w:p>
        </w:tc>
        <w:tc>
          <w:tcPr>
            <w:tcW w:w="714" w:type="pct"/>
            <w:tcBorders>
              <w:top w:val="nil"/>
              <w:left w:val="nil"/>
              <w:bottom w:val="single" w:sz="4" w:space="0" w:color="auto"/>
              <w:right w:val="single" w:sz="4" w:space="0" w:color="auto"/>
            </w:tcBorders>
            <w:shd w:val="clear" w:color="auto" w:fill="BFBFBF" w:themeFill="background1" w:themeFillShade="BF"/>
            <w:noWrap/>
            <w:vAlign w:val="center"/>
          </w:tcPr>
          <w:p w14:paraId="2261449B" w14:textId="7AC34A9A" w:rsidR="00394838" w:rsidRPr="00394838" w:rsidRDefault="00394838" w:rsidP="00394838">
            <w:pPr>
              <w:jc w:val="center"/>
              <w:rPr>
                <w:b/>
                <w:bCs/>
                <w:color w:val="000000"/>
                <w:sz w:val="22"/>
              </w:rPr>
            </w:pPr>
            <w:r w:rsidRPr="00394838">
              <w:rPr>
                <w:b/>
                <w:sz w:val="22"/>
              </w:rPr>
              <w:t>744,300</w:t>
            </w:r>
          </w:p>
        </w:tc>
        <w:tc>
          <w:tcPr>
            <w:tcW w:w="714" w:type="pct"/>
            <w:tcBorders>
              <w:top w:val="nil"/>
              <w:left w:val="nil"/>
              <w:bottom w:val="single" w:sz="4" w:space="0" w:color="auto"/>
              <w:right w:val="single" w:sz="4" w:space="0" w:color="auto"/>
            </w:tcBorders>
            <w:shd w:val="clear" w:color="auto" w:fill="BFBFBF" w:themeFill="background1" w:themeFillShade="BF"/>
            <w:noWrap/>
            <w:vAlign w:val="center"/>
          </w:tcPr>
          <w:p w14:paraId="0891A157" w14:textId="17C6D0DE" w:rsidR="00394838" w:rsidRPr="00394838" w:rsidRDefault="00394838" w:rsidP="00394838">
            <w:pPr>
              <w:jc w:val="center"/>
              <w:rPr>
                <w:b/>
                <w:bCs/>
                <w:color w:val="000000"/>
                <w:sz w:val="22"/>
              </w:rPr>
            </w:pPr>
            <w:r w:rsidRPr="00394838">
              <w:rPr>
                <w:b/>
                <w:sz w:val="22"/>
              </w:rPr>
              <w:t>189,700</w:t>
            </w:r>
          </w:p>
        </w:tc>
        <w:tc>
          <w:tcPr>
            <w:tcW w:w="714"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55E72E77" w14:textId="4147A5B9" w:rsidR="00394838" w:rsidRPr="00394838" w:rsidRDefault="00394838" w:rsidP="00394838">
            <w:pPr>
              <w:jc w:val="center"/>
              <w:rPr>
                <w:b/>
                <w:bCs/>
                <w:color w:val="000000"/>
                <w:sz w:val="22"/>
              </w:rPr>
            </w:pPr>
            <w:r w:rsidRPr="00394838">
              <w:rPr>
                <w:b/>
                <w:sz w:val="22"/>
              </w:rPr>
              <w:t>554,500</w:t>
            </w:r>
          </w:p>
        </w:tc>
        <w:tc>
          <w:tcPr>
            <w:tcW w:w="71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0EE7D59" w14:textId="74AD7236" w:rsidR="00394838" w:rsidRPr="00394838" w:rsidRDefault="00394838" w:rsidP="00394838">
            <w:pPr>
              <w:jc w:val="center"/>
              <w:rPr>
                <w:b/>
                <w:bCs/>
                <w:color w:val="000000"/>
                <w:sz w:val="22"/>
              </w:rPr>
            </w:pPr>
            <w:r w:rsidRPr="00394838">
              <w:rPr>
                <w:b/>
                <w:sz w:val="22"/>
              </w:rPr>
              <w:t>595,300</w:t>
            </w:r>
          </w:p>
        </w:tc>
        <w:tc>
          <w:tcPr>
            <w:tcW w:w="71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84B8B4E" w14:textId="3D0370D0" w:rsidR="00394838" w:rsidRPr="00394838" w:rsidRDefault="00394838" w:rsidP="00394838">
            <w:pPr>
              <w:jc w:val="center"/>
              <w:rPr>
                <w:b/>
                <w:bCs/>
                <w:color w:val="000000"/>
                <w:sz w:val="22"/>
              </w:rPr>
            </w:pPr>
            <w:r w:rsidRPr="00394838">
              <w:rPr>
                <w:b/>
                <w:sz w:val="22"/>
              </w:rPr>
              <w:t>449,700</w:t>
            </w:r>
          </w:p>
        </w:tc>
        <w:tc>
          <w:tcPr>
            <w:tcW w:w="714" w:type="pct"/>
            <w:tcBorders>
              <w:top w:val="nil"/>
              <w:left w:val="single" w:sz="4" w:space="0" w:color="auto"/>
              <w:bottom w:val="single" w:sz="4" w:space="0" w:color="auto"/>
              <w:right w:val="single" w:sz="4" w:space="0" w:color="auto"/>
            </w:tcBorders>
            <w:shd w:val="clear" w:color="auto" w:fill="BFBFBF" w:themeFill="background1" w:themeFillShade="BF"/>
            <w:noWrap/>
            <w:vAlign w:val="center"/>
          </w:tcPr>
          <w:p w14:paraId="052C3696" w14:textId="480BA451" w:rsidR="00394838" w:rsidRPr="00394838" w:rsidRDefault="00394838" w:rsidP="00394838">
            <w:pPr>
              <w:jc w:val="center"/>
              <w:rPr>
                <w:b/>
                <w:bCs/>
                <w:color w:val="000000"/>
                <w:sz w:val="22"/>
              </w:rPr>
            </w:pPr>
            <w:r w:rsidRPr="00394838">
              <w:rPr>
                <w:b/>
                <w:sz w:val="22"/>
              </w:rPr>
              <w:t>370,800</w:t>
            </w:r>
          </w:p>
        </w:tc>
      </w:tr>
      <w:tr w:rsidR="00394838" w:rsidRPr="0039677D" w14:paraId="206B758C" w14:textId="77777777" w:rsidTr="00394838">
        <w:trPr>
          <w:trHeight w:val="288"/>
        </w:trPr>
        <w:tc>
          <w:tcPr>
            <w:tcW w:w="714"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hideMark/>
          </w:tcPr>
          <w:p w14:paraId="2C7283D2" w14:textId="01AB9F95" w:rsidR="00394838" w:rsidRPr="00394838" w:rsidRDefault="00394838" w:rsidP="00394838">
            <w:pPr>
              <w:jc w:val="center"/>
              <w:rPr>
                <w:b/>
                <w:bCs/>
                <w:color w:val="000000"/>
                <w:sz w:val="22"/>
              </w:rPr>
            </w:pPr>
            <w:r w:rsidRPr="00394838">
              <w:rPr>
                <w:b/>
                <w:sz w:val="22"/>
              </w:rPr>
              <w:t>Average, 2007-2018</w:t>
            </w:r>
          </w:p>
        </w:tc>
        <w:tc>
          <w:tcPr>
            <w:tcW w:w="714" w:type="pct"/>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4037D63F" w14:textId="3015B6AD" w:rsidR="00394838" w:rsidRPr="00394838" w:rsidRDefault="00394838" w:rsidP="00394838">
            <w:pPr>
              <w:jc w:val="center"/>
              <w:rPr>
                <w:b/>
                <w:bCs/>
                <w:color w:val="000000"/>
                <w:sz w:val="22"/>
              </w:rPr>
            </w:pPr>
            <w:r w:rsidRPr="00394838">
              <w:rPr>
                <w:b/>
                <w:sz w:val="22"/>
              </w:rPr>
              <w:t>62,000</w:t>
            </w:r>
          </w:p>
        </w:tc>
        <w:tc>
          <w:tcPr>
            <w:tcW w:w="714" w:type="pct"/>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39230940" w14:textId="4C0DD062" w:rsidR="00394838" w:rsidRPr="00394838" w:rsidRDefault="00394838" w:rsidP="00394838">
            <w:pPr>
              <w:jc w:val="center"/>
              <w:rPr>
                <w:b/>
                <w:bCs/>
                <w:color w:val="000000"/>
                <w:sz w:val="22"/>
              </w:rPr>
            </w:pPr>
            <w:r w:rsidRPr="00394838">
              <w:rPr>
                <w:b/>
                <w:sz w:val="22"/>
              </w:rPr>
              <w:t>15,800</w:t>
            </w:r>
          </w:p>
        </w:tc>
        <w:tc>
          <w:tcPr>
            <w:tcW w:w="714"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1026B857" w14:textId="49001FA9" w:rsidR="00394838" w:rsidRPr="00394838" w:rsidRDefault="00394838" w:rsidP="00394838">
            <w:pPr>
              <w:jc w:val="center"/>
              <w:rPr>
                <w:b/>
                <w:bCs/>
                <w:color w:val="000000"/>
                <w:sz w:val="22"/>
              </w:rPr>
            </w:pPr>
            <w:r w:rsidRPr="00394838">
              <w:rPr>
                <w:b/>
                <w:sz w:val="22"/>
              </w:rPr>
              <w:t>46,200</w:t>
            </w:r>
          </w:p>
        </w:tc>
        <w:tc>
          <w:tcPr>
            <w:tcW w:w="71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87A9E26" w14:textId="24CB6AFE" w:rsidR="00394838" w:rsidRPr="00394838" w:rsidRDefault="00394838" w:rsidP="00394838">
            <w:pPr>
              <w:jc w:val="center"/>
              <w:rPr>
                <w:b/>
                <w:bCs/>
                <w:color w:val="000000"/>
                <w:sz w:val="22"/>
              </w:rPr>
            </w:pPr>
            <w:r w:rsidRPr="00394838">
              <w:rPr>
                <w:b/>
                <w:sz w:val="22"/>
              </w:rPr>
              <w:t>49,600</w:t>
            </w:r>
          </w:p>
        </w:tc>
        <w:tc>
          <w:tcPr>
            <w:tcW w:w="71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311E8A7" w14:textId="2AD44886" w:rsidR="00394838" w:rsidRPr="00394838" w:rsidRDefault="00394838" w:rsidP="00394838">
            <w:pPr>
              <w:jc w:val="center"/>
              <w:rPr>
                <w:b/>
                <w:bCs/>
                <w:color w:val="000000"/>
                <w:sz w:val="22"/>
              </w:rPr>
            </w:pPr>
            <w:r w:rsidRPr="00394838">
              <w:rPr>
                <w:b/>
                <w:sz w:val="22"/>
              </w:rPr>
              <w:t>37,500</w:t>
            </w:r>
          </w:p>
        </w:tc>
        <w:tc>
          <w:tcPr>
            <w:tcW w:w="714"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71172821" w14:textId="2CEF03A3" w:rsidR="00394838" w:rsidRPr="00394838" w:rsidRDefault="00394838" w:rsidP="00394838">
            <w:pPr>
              <w:jc w:val="center"/>
              <w:rPr>
                <w:b/>
                <w:bCs/>
                <w:color w:val="000000"/>
                <w:sz w:val="22"/>
              </w:rPr>
            </w:pPr>
            <w:r w:rsidRPr="00394838">
              <w:rPr>
                <w:b/>
                <w:sz w:val="22"/>
              </w:rPr>
              <w:t>30,900</w:t>
            </w:r>
          </w:p>
        </w:tc>
      </w:tr>
      <w:tr w:rsidR="00394838" w:rsidRPr="0039677D" w14:paraId="553D45AF" w14:textId="77777777" w:rsidTr="00394838">
        <w:trPr>
          <w:trHeight w:val="288"/>
        </w:trPr>
        <w:tc>
          <w:tcPr>
            <w:tcW w:w="714"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7542951D" w14:textId="07A19635" w:rsidR="00394838" w:rsidRPr="00394838" w:rsidRDefault="00394838" w:rsidP="00394838">
            <w:pPr>
              <w:jc w:val="center"/>
              <w:rPr>
                <w:b/>
                <w:bCs/>
                <w:color w:val="000000"/>
                <w:sz w:val="22"/>
              </w:rPr>
            </w:pPr>
            <w:r w:rsidRPr="00394838">
              <w:rPr>
                <w:b/>
                <w:sz w:val="22"/>
              </w:rPr>
              <w:t>Total, 2012-2018</w:t>
            </w:r>
          </w:p>
        </w:tc>
        <w:tc>
          <w:tcPr>
            <w:tcW w:w="714" w:type="pct"/>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165F7BC3" w14:textId="5D0C1E02" w:rsidR="00394838" w:rsidRPr="00394838" w:rsidRDefault="00394838" w:rsidP="00394838">
            <w:pPr>
              <w:jc w:val="center"/>
              <w:rPr>
                <w:b/>
                <w:sz w:val="22"/>
              </w:rPr>
            </w:pPr>
            <w:r w:rsidRPr="00394838">
              <w:rPr>
                <w:b/>
                <w:sz w:val="22"/>
              </w:rPr>
              <w:t>566,500</w:t>
            </w:r>
          </w:p>
        </w:tc>
        <w:tc>
          <w:tcPr>
            <w:tcW w:w="714" w:type="pct"/>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681BB5FD" w14:textId="34E819C1" w:rsidR="00394838" w:rsidRPr="00394838" w:rsidRDefault="00394838" w:rsidP="00394838">
            <w:pPr>
              <w:jc w:val="center"/>
              <w:rPr>
                <w:b/>
                <w:sz w:val="22"/>
              </w:rPr>
            </w:pPr>
            <w:r w:rsidRPr="00394838">
              <w:rPr>
                <w:b/>
                <w:sz w:val="22"/>
              </w:rPr>
              <w:t>89,400</w:t>
            </w:r>
          </w:p>
        </w:tc>
        <w:tc>
          <w:tcPr>
            <w:tcW w:w="714"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0A219610" w14:textId="4730D196" w:rsidR="00394838" w:rsidRPr="00394838" w:rsidRDefault="00394838" w:rsidP="00394838">
            <w:pPr>
              <w:jc w:val="center"/>
              <w:rPr>
                <w:b/>
                <w:sz w:val="22"/>
              </w:rPr>
            </w:pPr>
            <w:r w:rsidRPr="00394838">
              <w:rPr>
                <w:b/>
                <w:sz w:val="22"/>
              </w:rPr>
              <w:t>477,000</w:t>
            </w:r>
          </w:p>
        </w:tc>
        <w:tc>
          <w:tcPr>
            <w:tcW w:w="71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5868D8C" w14:textId="36E5447B" w:rsidR="00394838" w:rsidRPr="00394838" w:rsidRDefault="00394838" w:rsidP="00394838">
            <w:pPr>
              <w:jc w:val="center"/>
              <w:rPr>
                <w:b/>
                <w:sz w:val="22"/>
              </w:rPr>
            </w:pPr>
            <w:r w:rsidRPr="00394838">
              <w:rPr>
                <w:b/>
                <w:sz w:val="22"/>
              </w:rPr>
              <w:t>507,800</w:t>
            </w:r>
          </w:p>
        </w:tc>
        <w:tc>
          <w:tcPr>
            <w:tcW w:w="71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F1145E" w14:textId="1480E61F" w:rsidR="00394838" w:rsidRPr="00394838" w:rsidRDefault="00394838" w:rsidP="00394838">
            <w:pPr>
              <w:jc w:val="center"/>
              <w:rPr>
                <w:b/>
                <w:sz w:val="22"/>
              </w:rPr>
            </w:pPr>
            <w:r w:rsidRPr="00394838">
              <w:rPr>
                <w:b/>
                <w:sz w:val="22"/>
              </w:rPr>
              <w:t>394,200</w:t>
            </w:r>
          </w:p>
        </w:tc>
        <w:tc>
          <w:tcPr>
            <w:tcW w:w="714"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1CA73231" w14:textId="3008F905" w:rsidR="00394838" w:rsidRPr="00394838" w:rsidRDefault="00394838" w:rsidP="00394838">
            <w:pPr>
              <w:jc w:val="center"/>
              <w:rPr>
                <w:b/>
                <w:sz w:val="22"/>
              </w:rPr>
            </w:pPr>
            <w:r w:rsidRPr="00394838">
              <w:rPr>
                <w:b/>
                <w:sz w:val="22"/>
              </w:rPr>
              <w:t>336,000</w:t>
            </w:r>
          </w:p>
        </w:tc>
      </w:tr>
      <w:tr w:rsidR="00394838" w:rsidRPr="0039677D" w14:paraId="284AA1D7" w14:textId="77777777" w:rsidTr="00394838">
        <w:trPr>
          <w:trHeight w:val="288"/>
        </w:trPr>
        <w:tc>
          <w:tcPr>
            <w:tcW w:w="714"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07D26EF5" w14:textId="634612C6" w:rsidR="00394838" w:rsidRPr="00394838" w:rsidRDefault="00394838" w:rsidP="00394838">
            <w:pPr>
              <w:jc w:val="center"/>
              <w:rPr>
                <w:b/>
                <w:bCs/>
                <w:color w:val="000000"/>
                <w:sz w:val="22"/>
              </w:rPr>
            </w:pPr>
            <w:r w:rsidRPr="00394838">
              <w:rPr>
                <w:b/>
                <w:sz w:val="22"/>
              </w:rPr>
              <w:t>Average, 2012-2018</w:t>
            </w:r>
          </w:p>
        </w:tc>
        <w:tc>
          <w:tcPr>
            <w:tcW w:w="714" w:type="pct"/>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2EF74FD9" w14:textId="124B2D98" w:rsidR="00394838" w:rsidRPr="00394838" w:rsidRDefault="00394838" w:rsidP="00394838">
            <w:pPr>
              <w:jc w:val="center"/>
              <w:rPr>
                <w:b/>
                <w:sz w:val="22"/>
              </w:rPr>
            </w:pPr>
            <w:r w:rsidRPr="00394838">
              <w:rPr>
                <w:b/>
                <w:sz w:val="22"/>
              </w:rPr>
              <w:t>80,900</w:t>
            </w:r>
          </w:p>
        </w:tc>
        <w:tc>
          <w:tcPr>
            <w:tcW w:w="714" w:type="pct"/>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60BEFD10" w14:textId="6920D6C4" w:rsidR="00394838" w:rsidRPr="00394838" w:rsidRDefault="00394838" w:rsidP="00394838">
            <w:pPr>
              <w:jc w:val="center"/>
              <w:rPr>
                <w:b/>
                <w:sz w:val="22"/>
              </w:rPr>
            </w:pPr>
            <w:r w:rsidRPr="00394838">
              <w:rPr>
                <w:b/>
                <w:sz w:val="22"/>
              </w:rPr>
              <w:t>12,800</w:t>
            </w:r>
          </w:p>
        </w:tc>
        <w:tc>
          <w:tcPr>
            <w:tcW w:w="714"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19FF48B9" w14:textId="2BDC0009" w:rsidR="00394838" w:rsidRPr="00394838" w:rsidRDefault="00394838" w:rsidP="00394838">
            <w:pPr>
              <w:jc w:val="center"/>
              <w:rPr>
                <w:b/>
                <w:sz w:val="22"/>
              </w:rPr>
            </w:pPr>
            <w:r w:rsidRPr="00394838">
              <w:rPr>
                <w:b/>
                <w:sz w:val="22"/>
              </w:rPr>
              <w:t>68,100</w:t>
            </w:r>
          </w:p>
        </w:tc>
        <w:tc>
          <w:tcPr>
            <w:tcW w:w="71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195A8FC" w14:textId="31FA2326" w:rsidR="00394838" w:rsidRPr="00394838" w:rsidRDefault="00394838" w:rsidP="00394838">
            <w:pPr>
              <w:jc w:val="center"/>
              <w:rPr>
                <w:b/>
                <w:sz w:val="22"/>
              </w:rPr>
            </w:pPr>
            <w:r w:rsidRPr="00394838">
              <w:rPr>
                <w:b/>
                <w:sz w:val="22"/>
              </w:rPr>
              <w:t>72,500</w:t>
            </w:r>
          </w:p>
        </w:tc>
        <w:tc>
          <w:tcPr>
            <w:tcW w:w="71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580CC34" w14:textId="64234663" w:rsidR="00394838" w:rsidRPr="00394838" w:rsidRDefault="00394838" w:rsidP="00394838">
            <w:pPr>
              <w:jc w:val="center"/>
              <w:rPr>
                <w:b/>
                <w:sz w:val="22"/>
              </w:rPr>
            </w:pPr>
            <w:r w:rsidRPr="00394838">
              <w:rPr>
                <w:b/>
                <w:sz w:val="22"/>
              </w:rPr>
              <w:t>56,300</w:t>
            </w:r>
          </w:p>
        </w:tc>
        <w:tc>
          <w:tcPr>
            <w:tcW w:w="714"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092695B9" w14:textId="38503F26" w:rsidR="00394838" w:rsidRPr="00394838" w:rsidRDefault="00394838" w:rsidP="00394838">
            <w:pPr>
              <w:jc w:val="center"/>
              <w:rPr>
                <w:b/>
                <w:sz w:val="22"/>
              </w:rPr>
            </w:pPr>
            <w:r w:rsidRPr="00394838">
              <w:rPr>
                <w:b/>
                <w:sz w:val="22"/>
              </w:rPr>
              <w:t>48,000</w:t>
            </w:r>
          </w:p>
        </w:tc>
      </w:tr>
    </w:tbl>
    <w:p w14:paraId="13EAE3E1" w14:textId="7B57B4E6" w:rsidR="000F5112" w:rsidRPr="00A67335" w:rsidRDefault="000F5112" w:rsidP="000F5112">
      <w:pPr>
        <w:rPr>
          <w:sz w:val="20"/>
          <w:szCs w:val="20"/>
        </w:rPr>
      </w:pPr>
      <w:r w:rsidRPr="00A67335">
        <w:rPr>
          <w:sz w:val="20"/>
          <w:szCs w:val="20"/>
          <w:vertAlign w:val="superscript"/>
        </w:rPr>
        <w:t>1</w:t>
      </w:r>
      <w:r w:rsidRPr="00A67335">
        <w:rPr>
          <w:sz w:val="20"/>
          <w:szCs w:val="20"/>
        </w:rPr>
        <w:t xml:space="preserve"> </w:t>
      </w:r>
      <w:r w:rsidR="00294227" w:rsidRPr="00A67335">
        <w:rPr>
          <w:sz w:val="20"/>
          <w:szCs w:val="20"/>
        </w:rPr>
        <w:t>Total volume of water credited to the</w:t>
      </w:r>
      <w:r w:rsidRPr="00A67335">
        <w:rPr>
          <w:sz w:val="20"/>
          <w:szCs w:val="20"/>
        </w:rPr>
        <w:t xml:space="preserve"> Lake McConaughy EA including 10% of SNI, the Pathfinder EA, Pathfinder Municipal Account lease, </w:t>
      </w:r>
      <w:r w:rsidR="008A1140" w:rsidRPr="00A67335">
        <w:rPr>
          <w:sz w:val="20"/>
          <w:szCs w:val="20"/>
        </w:rPr>
        <w:t xml:space="preserve">No-Cost </w:t>
      </w:r>
      <w:r w:rsidRPr="00A67335">
        <w:rPr>
          <w:sz w:val="20"/>
          <w:szCs w:val="20"/>
        </w:rPr>
        <w:t>NCCW</w:t>
      </w:r>
      <w:r w:rsidR="008A1140" w:rsidRPr="00A67335">
        <w:rPr>
          <w:sz w:val="20"/>
          <w:szCs w:val="20"/>
        </w:rPr>
        <w:t xml:space="preserve">, the </w:t>
      </w:r>
      <w:r w:rsidRPr="00A67335">
        <w:rPr>
          <w:sz w:val="20"/>
          <w:szCs w:val="20"/>
        </w:rPr>
        <w:t>CNPPID irrigator lease pilot program</w:t>
      </w:r>
      <w:r w:rsidR="008A1140" w:rsidRPr="00A67335">
        <w:rPr>
          <w:sz w:val="20"/>
          <w:szCs w:val="20"/>
        </w:rPr>
        <w:t>, and the CPNRD pilot exchange project (2018 only</w:t>
      </w:r>
      <w:r w:rsidR="00F162EB" w:rsidRPr="00A67335">
        <w:rPr>
          <w:sz w:val="20"/>
          <w:szCs w:val="20"/>
        </w:rPr>
        <w:t>).</w:t>
      </w:r>
      <w:r w:rsidRPr="00A67335">
        <w:rPr>
          <w:sz w:val="20"/>
          <w:szCs w:val="20"/>
        </w:rPr>
        <w:t xml:space="preserve">  All sources of water into the Lake McConaughy EA are viewed as a combined volume for</w:t>
      </w:r>
      <w:r w:rsidR="008A1140" w:rsidRPr="00A67335">
        <w:rPr>
          <w:sz w:val="20"/>
          <w:szCs w:val="20"/>
        </w:rPr>
        <w:t xml:space="preserve"> </w:t>
      </w:r>
      <w:r w:rsidRPr="00A67335">
        <w:rPr>
          <w:sz w:val="20"/>
          <w:szCs w:val="20"/>
        </w:rPr>
        <w:t xml:space="preserve">operational purposes, but </w:t>
      </w:r>
      <w:r w:rsidR="00D3737A" w:rsidRPr="00A67335">
        <w:rPr>
          <w:sz w:val="20"/>
          <w:szCs w:val="20"/>
        </w:rPr>
        <w:t>WAP</w:t>
      </w:r>
      <w:r w:rsidRPr="00A67335">
        <w:rPr>
          <w:sz w:val="20"/>
          <w:szCs w:val="20"/>
        </w:rPr>
        <w:t xml:space="preserve"> projects contributing to the EA are scored independently. </w:t>
      </w:r>
    </w:p>
    <w:p w14:paraId="3534EF07" w14:textId="77777777" w:rsidR="000F5112" w:rsidRPr="00A67335" w:rsidRDefault="000F5112" w:rsidP="000F5112">
      <w:pPr>
        <w:rPr>
          <w:sz w:val="20"/>
          <w:szCs w:val="20"/>
        </w:rPr>
      </w:pPr>
      <w:r w:rsidRPr="00A67335">
        <w:rPr>
          <w:sz w:val="20"/>
          <w:szCs w:val="20"/>
          <w:vertAlign w:val="superscript"/>
        </w:rPr>
        <w:t xml:space="preserve">2 </w:t>
      </w:r>
      <w:r w:rsidRPr="00A67335">
        <w:rPr>
          <w:sz w:val="20"/>
          <w:szCs w:val="20"/>
        </w:rPr>
        <w:t xml:space="preserve">Losses due to evaporation, seepage and EA resets when reservoir fills to capacity. </w:t>
      </w:r>
    </w:p>
    <w:p w14:paraId="4AC2B38A" w14:textId="77777777" w:rsidR="000F5112" w:rsidRPr="00A67335" w:rsidRDefault="000F5112" w:rsidP="000F5112">
      <w:pPr>
        <w:rPr>
          <w:sz w:val="20"/>
          <w:szCs w:val="20"/>
        </w:rPr>
      </w:pPr>
      <w:r w:rsidRPr="00A67335">
        <w:rPr>
          <w:sz w:val="20"/>
          <w:szCs w:val="20"/>
          <w:vertAlign w:val="superscript"/>
        </w:rPr>
        <w:t>3</w:t>
      </w:r>
      <w:r w:rsidRPr="00A67335">
        <w:rPr>
          <w:sz w:val="20"/>
          <w:szCs w:val="20"/>
        </w:rPr>
        <w:t xml:space="preserve"> Releases were made to reduce target flow shortages and for other environmental purposes.</w:t>
      </w:r>
    </w:p>
    <w:p w14:paraId="2A6E805D" w14:textId="77777777" w:rsidR="000F5112" w:rsidRPr="00A67335" w:rsidRDefault="000F5112" w:rsidP="000F5112">
      <w:pPr>
        <w:rPr>
          <w:sz w:val="20"/>
          <w:szCs w:val="20"/>
        </w:rPr>
      </w:pPr>
      <w:r w:rsidRPr="00A67335">
        <w:rPr>
          <w:sz w:val="20"/>
          <w:szCs w:val="20"/>
          <w:vertAlign w:val="superscript"/>
        </w:rPr>
        <w:t xml:space="preserve">4 </w:t>
      </w:r>
      <w:r w:rsidRPr="00A67335">
        <w:rPr>
          <w:sz w:val="20"/>
          <w:szCs w:val="20"/>
        </w:rPr>
        <w:t>Accounts for transit losses between Lake McConaughy releases to Grand Island.</w:t>
      </w:r>
    </w:p>
    <w:p w14:paraId="6C3F3158" w14:textId="77777777" w:rsidR="000F5112" w:rsidRPr="00A67335" w:rsidRDefault="000F5112" w:rsidP="00511A86">
      <w:pPr>
        <w:spacing w:after="120"/>
        <w:rPr>
          <w:sz w:val="20"/>
          <w:szCs w:val="20"/>
          <w:vertAlign w:val="superscript"/>
        </w:rPr>
      </w:pPr>
      <w:r w:rsidRPr="00A67335">
        <w:rPr>
          <w:sz w:val="20"/>
          <w:szCs w:val="20"/>
          <w:vertAlign w:val="superscript"/>
        </w:rPr>
        <w:t>5</w:t>
      </w:r>
      <w:r w:rsidRPr="00A67335">
        <w:rPr>
          <w:sz w:val="20"/>
          <w:szCs w:val="20"/>
        </w:rPr>
        <w:t xml:space="preserve"> Calculated using real time hydrologic conditions.</w:t>
      </w:r>
    </w:p>
    <w:p w14:paraId="1276E9B7" w14:textId="108CF0AA" w:rsidR="00320C8E" w:rsidRDefault="00E35634" w:rsidP="004E0658">
      <w:pPr>
        <w:pStyle w:val="ListParagraph"/>
        <w:spacing w:before="120" w:after="240"/>
        <w:ind w:left="0"/>
      </w:pPr>
      <w:r>
        <w:t xml:space="preserve">The Pathfinder EA and Lake McConaughy EA were credited with a combined score of 70,000 AF.  </w:t>
      </w:r>
      <w:r w:rsidR="006A5663">
        <w:t xml:space="preserve">The score analysis is thought to have been based on the premise of releasing water as needed to fill modeled shortages at Grand Island, an approach that likely does not correspond to the release priorities specified by USFWS in the AOP.  </w:t>
      </w:r>
      <w:r w:rsidR="00320C8E">
        <w:t>S</w:t>
      </w:r>
      <w:r w:rsidR="006A5663">
        <w:t>core analyses</w:t>
      </w:r>
      <w:r w:rsidR="00320C8E">
        <w:t xml:space="preserve"> for WAP projects that contribute to the Lake McConaughy EA</w:t>
      </w:r>
      <w:r w:rsidR="006A5663">
        <w:t xml:space="preserve"> treat the projects as though they are operated individually rather than as part of a </w:t>
      </w:r>
      <w:r w:rsidR="00320C8E">
        <w:t xml:space="preserve">larger </w:t>
      </w:r>
      <w:r w:rsidR="006A5663">
        <w:t>collective supply.</w:t>
      </w:r>
      <w:r w:rsidR="00320C8E">
        <w:t xml:space="preserve">  However, typically being much smaller volumetrically than the combined Pathfinder EA and Lake McConaughy EA, the releases of water from the WAP projects are timed to correspond to the spring whooping crane release in March or the first month thereafter that has target flow deficits at Grand Island.</w:t>
      </w:r>
      <w:r w:rsidR="006A5663">
        <w:t xml:space="preserve">  </w:t>
      </w:r>
      <w:r w:rsidR="003005ED">
        <w:t>Through 2018</w:t>
      </w:r>
      <w:r w:rsidR="00A741DF">
        <w:t xml:space="preserve">, </w:t>
      </w:r>
      <w:r w:rsidR="006A5663">
        <w:t>two of the four WAP projects</w:t>
      </w:r>
      <w:r w:rsidR="00A741DF">
        <w:t xml:space="preserve"> contributing to the Lake McConaughy EA have approved scores</w:t>
      </w:r>
      <w:r w:rsidR="000A2270">
        <w:t>,</w:t>
      </w:r>
      <w:r w:rsidR="00A741DF">
        <w:t xml:space="preserve"> </w:t>
      </w:r>
      <w:r w:rsidR="006A5663">
        <w:t xml:space="preserve">bringing the </w:t>
      </w:r>
      <w:r w:rsidR="001E1F01">
        <w:t>combined</w:t>
      </w:r>
      <w:r w:rsidR="006A5663">
        <w:t xml:space="preserve"> score to</w:t>
      </w:r>
      <w:r w:rsidR="00A741DF">
        <w:t xml:space="preserve"> 76,6</w:t>
      </w:r>
      <w:r w:rsidR="000A2270">
        <w:t>1</w:t>
      </w:r>
      <w:r w:rsidR="00A741DF">
        <w:t>0 AF.</w:t>
      </w:r>
      <w:r w:rsidR="00AE6BE3">
        <w:t xml:space="preserve">  </w:t>
      </w:r>
    </w:p>
    <w:p w14:paraId="34A6114D" w14:textId="76F0C0C2" w:rsidR="000F5112" w:rsidRDefault="00AE6BE3" w:rsidP="004E0658">
      <w:pPr>
        <w:pStyle w:val="ListParagraph"/>
        <w:spacing w:before="120" w:after="240"/>
        <w:ind w:left="0"/>
      </w:pPr>
      <w:r>
        <w:lastRenderedPageBreak/>
        <w:t>The Program continues to pursue additional water supplies for the Lake McConaughy, most recently adding the CPNRD pilot exchange project in 2018.  With the contributing sources in flux throughout the First Increment, neither of the annual average reductions to deficits volumes shown in Table 13 are particularly representative of the collective performance of these projects.</w:t>
      </w:r>
      <w:r w:rsidR="00B85272">
        <w:t xml:space="preserve">  However, it is instructive, as shown in </w:t>
      </w:r>
      <w:r w:rsidR="00B85272" w:rsidRPr="00E809F5">
        <w:rPr>
          <w:b/>
        </w:rPr>
        <w:t xml:space="preserve">Figure </w:t>
      </w:r>
      <w:r w:rsidR="003005ED" w:rsidRPr="00E809F5">
        <w:rPr>
          <w:b/>
        </w:rPr>
        <w:t>2</w:t>
      </w:r>
      <w:r w:rsidR="00B85272">
        <w:t>, that both total releases from the Lake McConaughy EA and reductions to deficits at Grand Island as a result of those releases exhibit upward trends across the duration of the First Increment.</w:t>
      </w:r>
    </w:p>
    <w:p w14:paraId="709C3766" w14:textId="3645C24E" w:rsidR="00B85272" w:rsidRDefault="00B85272" w:rsidP="001B4E5C">
      <w:pPr>
        <w:pStyle w:val="ListParagraph"/>
        <w:ind w:left="0"/>
      </w:pPr>
      <w:r>
        <w:rPr>
          <w:noProof/>
        </w:rPr>
        <w:drawing>
          <wp:inline distT="0" distB="0" distL="0" distR="0" wp14:anchorId="6DCF9DFA" wp14:editId="0582FF6A">
            <wp:extent cx="6285230" cy="3499485"/>
            <wp:effectExtent l="0" t="0" r="127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85230" cy="3499485"/>
                    </a:xfrm>
                    <a:prstGeom prst="rect">
                      <a:avLst/>
                    </a:prstGeom>
                    <a:noFill/>
                  </pic:spPr>
                </pic:pic>
              </a:graphicData>
            </a:graphic>
          </wp:inline>
        </w:drawing>
      </w:r>
    </w:p>
    <w:p w14:paraId="2D3BF604" w14:textId="3D8CD1D5" w:rsidR="00B85272" w:rsidRPr="001B4E5C" w:rsidRDefault="00B85272" w:rsidP="00E809F5">
      <w:pPr>
        <w:pStyle w:val="ListParagraph"/>
        <w:spacing w:after="240"/>
        <w:ind w:left="0"/>
        <w:rPr>
          <w:b/>
        </w:rPr>
      </w:pPr>
      <w:r w:rsidRPr="001B4E5C">
        <w:rPr>
          <w:b/>
        </w:rPr>
        <w:t xml:space="preserve">Figure </w:t>
      </w:r>
      <w:r w:rsidR="003005ED">
        <w:rPr>
          <w:b/>
        </w:rPr>
        <w:t>2</w:t>
      </w:r>
      <w:r w:rsidRPr="001B4E5C">
        <w:rPr>
          <w:b/>
        </w:rPr>
        <w:t>.  Lake McConaughy EA Releases and Deficit Reductions, 2007-2018</w:t>
      </w:r>
    </w:p>
    <w:p w14:paraId="12F1634E" w14:textId="74FB7506" w:rsidR="00E35634" w:rsidRDefault="00E35634" w:rsidP="004E0658">
      <w:pPr>
        <w:pStyle w:val="ListParagraph"/>
        <w:spacing w:before="120" w:after="240"/>
        <w:ind w:left="0"/>
      </w:pPr>
      <w:r>
        <w:t>In general, higher release volumes from the Lake McConaughy EA result in greater deficit reductions at Grand Island, although the degree of efficiency may not be consistent.  For example, in 2017, which had record releases exceeding 142,000 AF, only 68 percent resulted in deficit reductions, but 82 percent of releases resulted in deficit reductions in 2018.  Ultimately, releases from the Lake McConaughy EA are made at the discretion of the USFWS</w:t>
      </w:r>
      <w:r w:rsidR="00320C8E">
        <w:t xml:space="preserve"> according to the AOP.</w:t>
      </w:r>
      <w:r w:rsidR="00C06AA8">
        <w:t xml:space="preserve">  Over the course of extended Program operations, the timing and magnitude of those releases relative to target flow deficits at Grand Island will significantly influence whether the Lake McConaughy EA the contributing WAP projects will produce operational yields similar to approved project scores.</w:t>
      </w:r>
    </w:p>
    <w:p w14:paraId="586238E8" w14:textId="77777777" w:rsidR="003005ED" w:rsidRDefault="003005ED" w:rsidP="004E0658">
      <w:pPr>
        <w:pStyle w:val="ListParagraph"/>
        <w:spacing w:before="120" w:after="240"/>
        <w:ind w:left="0"/>
      </w:pPr>
    </w:p>
    <w:p w14:paraId="7C56162E" w14:textId="0D9DDE1F" w:rsidR="003D2437" w:rsidRDefault="003D2437" w:rsidP="004E0658">
      <w:pPr>
        <w:pStyle w:val="ListParagraph"/>
        <w:spacing w:before="120" w:after="240"/>
        <w:ind w:left="0"/>
      </w:pPr>
    </w:p>
    <w:p w14:paraId="61E2EE10" w14:textId="77777777" w:rsidR="003D2437" w:rsidRDefault="003D2437" w:rsidP="004E0658">
      <w:pPr>
        <w:pStyle w:val="ListParagraph"/>
        <w:spacing w:before="120" w:after="240"/>
        <w:ind w:left="0"/>
        <w:sectPr w:rsidR="003D2437" w:rsidSect="005303B6">
          <w:headerReference w:type="even" r:id="rId15"/>
          <w:headerReference w:type="default" r:id="rId16"/>
          <w:footerReference w:type="even" r:id="rId17"/>
          <w:footerReference w:type="default" r:id="rId18"/>
          <w:headerReference w:type="first" r:id="rId19"/>
          <w:footerReference w:type="first" r:id="rId20"/>
          <w:pgSz w:w="12240" w:h="15840" w:code="1"/>
          <w:pgMar w:top="1440" w:right="1440" w:bottom="180" w:left="1440" w:header="720" w:footer="720" w:gutter="0"/>
          <w:lnNumType w:countBy="1" w:restart="continuous"/>
          <w:cols w:space="720"/>
          <w:docGrid w:linePitch="360"/>
        </w:sectPr>
      </w:pPr>
    </w:p>
    <w:p w14:paraId="7C5F0507" w14:textId="7C30EBEB" w:rsidR="003D2437" w:rsidRDefault="003D2437" w:rsidP="003D2437">
      <w:pPr>
        <w:pStyle w:val="ListParagraph"/>
        <w:ind w:left="0"/>
        <w:jc w:val="center"/>
      </w:pPr>
    </w:p>
    <w:p w14:paraId="7BD787CF" w14:textId="168210B4" w:rsidR="007633AF" w:rsidRDefault="007633AF" w:rsidP="003D2437">
      <w:pPr>
        <w:pStyle w:val="ListParagraph"/>
        <w:ind w:left="0"/>
        <w:jc w:val="center"/>
      </w:pPr>
    </w:p>
    <w:p w14:paraId="16C790A6" w14:textId="0105002F" w:rsidR="007633AF" w:rsidRDefault="007633AF" w:rsidP="003D2437">
      <w:pPr>
        <w:pStyle w:val="ListParagraph"/>
        <w:ind w:left="0"/>
        <w:jc w:val="center"/>
      </w:pPr>
    </w:p>
    <w:p w14:paraId="37E4B050" w14:textId="5B4CD177" w:rsidR="007633AF" w:rsidRDefault="007633AF" w:rsidP="003D2437">
      <w:pPr>
        <w:pStyle w:val="ListParagraph"/>
        <w:ind w:left="0"/>
        <w:jc w:val="center"/>
      </w:pPr>
    </w:p>
    <w:p w14:paraId="2D0CB6D2" w14:textId="5BCE620A" w:rsidR="007633AF" w:rsidRDefault="007633AF" w:rsidP="003D2437">
      <w:pPr>
        <w:pStyle w:val="ListParagraph"/>
        <w:ind w:left="0"/>
        <w:jc w:val="center"/>
      </w:pPr>
    </w:p>
    <w:p w14:paraId="17940BFA" w14:textId="259C3057" w:rsidR="007633AF" w:rsidRDefault="007633AF" w:rsidP="003D2437">
      <w:pPr>
        <w:pStyle w:val="ListParagraph"/>
        <w:ind w:left="0"/>
        <w:jc w:val="center"/>
      </w:pPr>
    </w:p>
    <w:p w14:paraId="73F74E1F" w14:textId="717CF744" w:rsidR="007633AF" w:rsidRDefault="007633AF" w:rsidP="003D2437">
      <w:pPr>
        <w:pStyle w:val="ListParagraph"/>
        <w:ind w:left="0"/>
        <w:jc w:val="center"/>
      </w:pPr>
    </w:p>
    <w:p w14:paraId="6226DD38" w14:textId="08018E61" w:rsidR="007633AF" w:rsidRDefault="007633AF" w:rsidP="003D2437">
      <w:pPr>
        <w:pStyle w:val="ListParagraph"/>
        <w:ind w:left="0"/>
        <w:jc w:val="center"/>
      </w:pPr>
    </w:p>
    <w:p w14:paraId="3EBFDB55" w14:textId="614E1947" w:rsidR="007633AF" w:rsidRDefault="007633AF" w:rsidP="003D2437">
      <w:pPr>
        <w:pStyle w:val="ListParagraph"/>
        <w:ind w:left="0"/>
        <w:jc w:val="center"/>
      </w:pPr>
    </w:p>
    <w:p w14:paraId="0C2CAAFD" w14:textId="28A8587F" w:rsidR="007633AF" w:rsidRDefault="007633AF" w:rsidP="003D2437">
      <w:pPr>
        <w:pStyle w:val="ListParagraph"/>
        <w:ind w:left="0"/>
        <w:jc w:val="center"/>
      </w:pPr>
    </w:p>
    <w:p w14:paraId="5D57B688" w14:textId="793FF112" w:rsidR="007633AF" w:rsidRPr="007633AF" w:rsidRDefault="007633AF" w:rsidP="003D2437">
      <w:pPr>
        <w:pStyle w:val="ListParagraph"/>
        <w:ind w:left="0"/>
        <w:jc w:val="center"/>
        <w:rPr>
          <w:b/>
          <w:sz w:val="36"/>
          <w:szCs w:val="36"/>
        </w:rPr>
      </w:pPr>
      <w:r w:rsidRPr="007633AF">
        <w:rPr>
          <w:b/>
          <w:sz w:val="36"/>
          <w:szCs w:val="36"/>
        </w:rPr>
        <w:t>Appendix A</w:t>
      </w:r>
    </w:p>
    <w:p w14:paraId="2510376D" w14:textId="1957970D" w:rsidR="007633AF" w:rsidRDefault="007633AF" w:rsidP="003D2437">
      <w:pPr>
        <w:pStyle w:val="ListParagraph"/>
        <w:ind w:left="0"/>
        <w:jc w:val="center"/>
        <w:rPr>
          <w:b/>
          <w:sz w:val="36"/>
          <w:szCs w:val="36"/>
        </w:rPr>
      </w:pPr>
      <w:r w:rsidRPr="007633AF">
        <w:rPr>
          <w:b/>
          <w:sz w:val="36"/>
          <w:szCs w:val="36"/>
        </w:rPr>
        <w:t>Excess Flows</w:t>
      </w:r>
    </w:p>
    <w:p w14:paraId="504A8EAF" w14:textId="5750BBEB" w:rsidR="007633AF" w:rsidRPr="007633AF" w:rsidRDefault="007633AF" w:rsidP="003D2437">
      <w:pPr>
        <w:pStyle w:val="ListParagraph"/>
        <w:ind w:left="0"/>
        <w:jc w:val="center"/>
        <w:rPr>
          <w:szCs w:val="24"/>
        </w:rPr>
      </w:pPr>
    </w:p>
    <w:p w14:paraId="4F46193C" w14:textId="469B4FEF" w:rsidR="007633AF" w:rsidRPr="007633AF" w:rsidRDefault="007633AF" w:rsidP="003D2437">
      <w:pPr>
        <w:pStyle w:val="ListParagraph"/>
        <w:ind w:left="0"/>
        <w:jc w:val="center"/>
        <w:rPr>
          <w:szCs w:val="24"/>
        </w:rPr>
      </w:pPr>
      <w:r>
        <w:rPr>
          <w:szCs w:val="24"/>
        </w:rPr>
        <w:t>PRRIP ED Office, Excess Analysis White Paper (</w:t>
      </w:r>
      <w:r w:rsidR="005E703D">
        <w:rPr>
          <w:szCs w:val="24"/>
        </w:rPr>
        <w:t xml:space="preserve">Draft, </w:t>
      </w:r>
      <w:r>
        <w:rPr>
          <w:szCs w:val="24"/>
        </w:rPr>
        <w:t>May 5, 2016)</w:t>
      </w:r>
    </w:p>
    <w:p w14:paraId="3F289DE1" w14:textId="143D9D94" w:rsidR="007633AF" w:rsidRDefault="007633AF" w:rsidP="003D2437">
      <w:pPr>
        <w:pStyle w:val="ListParagraph"/>
        <w:ind w:left="0"/>
        <w:jc w:val="center"/>
      </w:pPr>
    </w:p>
    <w:p w14:paraId="1AD2EC44" w14:textId="28BEBAB5" w:rsidR="007633AF" w:rsidRDefault="007633AF" w:rsidP="003D2437">
      <w:pPr>
        <w:pStyle w:val="ListParagraph"/>
        <w:ind w:left="0"/>
        <w:jc w:val="center"/>
      </w:pPr>
    </w:p>
    <w:p w14:paraId="380D689A" w14:textId="7572B448" w:rsidR="007633AF" w:rsidRDefault="007633AF" w:rsidP="003D2437">
      <w:pPr>
        <w:pStyle w:val="ListParagraph"/>
        <w:ind w:left="0"/>
        <w:jc w:val="center"/>
      </w:pPr>
    </w:p>
    <w:p w14:paraId="4C7B3447" w14:textId="2D916707" w:rsidR="007633AF" w:rsidRDefault="007633AF" w:rsidP="003D2437">
      <w:pPr>
        <w:pStyle w:val="ListParagraph"/>
        <w:ind w:left="0"/>
        <w:jc w:val="center"/>
      </w:pPr>
    </w:p>
    <w:p w14:paraId="3E2A4C36" w14:textId="77BA9732" w:rsidR="007633AF" w:rsidRDefault="007633AF" w:rsidP="003D2437">
      <w:pPr>
        <w:pStyle w:val="ListParagraph"/>
        <w:ind w:left="0"/>
        <w:jc w:val="center"/>
      </w:pPr>
    </w:p>
    <w:p w14:paraId="4C47425D" w14:textId="64C9C485" w:rsidR="007633AF" w:rsidRDefault="007633AF" w:rsidP="003D2437">
      <w:pPr>
        <w:pStyle w:val="ListParagraph"/>
        <w:ind w:left="0"/>
        <w:jc w:val="center"/>
      </w:pPr>
    </w:p>
    <w:p w14:paraId="2B85213F" w14:textId="2D593C30" w:rsidR="007633AF" w:rsidRDefault="007633AF" w:rsidP="003D2437">
      <w:pPr>
        <w:pStyle w:val="ListParagraph"/>
        <w:ind w:left="0"/>
        <w:jc w:val="center"/>
      </w:pPr>
    </w:p>
    <w:p w14:paraId="5366D028" w14:textId="2A4C7CC1" w:rsidR="007633AF" w:rsidRDefault="007633AF" w:rsidP="003D2437">
      <w:pPr>
        <w:pStyle w:val="ListParagraph"/>
        <w:ind w:left="0"/>
        <w:jc w:val="center"/>
      </w:pPr>
    </w:p>
    <w:p w14:paraId="535AB302" w14:textId="599224B9" w:rsidR="007633AF" w:rsidRDefault="007633AF" w:rsidP="003D2437">
      <w:pPr>
        <w:pStyle w:val="ListParagraph"/>
        <w:ind w:left="0"/>
        <w:jc w:val="center"/>
      </w:pPr>
    </w:p>
    <w:p w14:paraId="5697B49B" w14:textId="14F891A0" w:rsidR="007633AF" w:rsidRDefault="007633AF" w:rsidP="003D2437">
      <w:pPr>
        <w:pStyle w:val="ListParagraph"/>
        <w:ind w:left="0"/>
        <w:jc w:val="center"/>
      </w:pPr>
    </w:p>
    <w:p w14:paraId="1EF76F82" w14:textId="157D938A" w:rsidR="007633AF" w:rsidRDefault="007633AF" w:rsidP="003D2437">
      <w:pPr>
        <w:pStyle w:val="ListParagraph"/>
        <w:ind w:left="0"/>
        <w:jc w:val="center"/>
      </w:pPr>
    </w:p>
    <w:p w14:paraId="0D91C949" w14:textId="2CE3B92E" w:rsidR="007633AF" w:rsidRDefault="007633AF" w:rsidP="003D2437">
      <w:pPr>
        <w:pStyle w:val="ListParagraph"/>
        <w:ind w:left="0"/>
        <w:jc w:val="center"/>
      </w:pPr>
    </w:p>
    <w:p w14:paraId="3743F460" w14:textId="4502D879" w:rsidR="007633AF" w:rsidRDefault="007633AF" w:rsidP="003D2437">
      <w:pPr>
        <w:pStyle w:val="ListParagraph"/>
        <w:ind w:left="0"/>
        <w:jc w:val="center"/>
      </w:pPr>
    </w:p>
    <w:p w14:paraId="19376C61" w14:textId="7E459795" w:rsidR="007633AF" w:rsidRDefault="007633AF" w:rsidP="003D2437">
      <w:pPr>
        <w:pStyle w:val="ListParagraph"/>
        <w:ind w:left="0"/>
        <w:jc w:val="center"/>
      </w:pPr>
    </w:p>
    <w:p w14:paraId="4ED520DF" w14:textId="615ADAA9" w:rsidR="007633AF" w:rsidRDefault="007633AF" w:rsidP="003D2437">
      <w:pPr>
        <w:pStyle w:val="ListParagraph"/>
        <w:ind w:left="0"/>
        <w:jc w:val="center"/>
      </w:pPr>
    </w:p>
    <w:p w14:paraId="75836274" w14:textId="4C64ECE8" w:rsidR="007633AF" w:rsidRDefault="007633AF" w:rsidP="003D2437">
      <w:pPr>
        <w:pStyle w:val="ListParagraph"/>
        <w:ind w:left="0"/>
        <w:jc w:val="center"/>
      </w:pPr>
    </w:p>
    <w:p w14:paraId="56E1685B" w14:textId="206D505D" w:rsidR="007633AF" w:rsidRDefault="007633AF" w:rsidP="003D2437">
      <w:pPr>
        <w:pStyle w:val="ListParagraph"/>
        <w:ind w:left="0"/>
        <w:jc w:val="center"/>
      </w:pPr>
    </w:p>
    <w:p w14:paraId="1CB0C971" w14:textId="452CBCBB" w:rsidR="007633AF" w:rsidRDefault="007633AF" w:rsidP="003D2437">
      <w:pPr>
        <w:pStyle w:val="ListParagraph"/>
        <w:ind w:left="0"/>
        <w:jc w:val="center"/>
      </w:pPr>
    </w:p>
    <w:p w14:paraId="6051331D" w14:textId="2622CFEE" w:rsidR="007633AF" w:rsidRDefault="007633AF" w:rsidP="003D2437">
      <w:pPr>
        <w:pStyle w:val="ListParagraph"/>
        <w:ind w:left="0"/>
        <w:jc w:val="center"/>
      </w:pPr>
    </w:p>
    <w:p w14:paraId="208FA29F" w14:textId="415E7A57" w:rsidR="007633AF" w:rsidRDefault="007633AF" w:rsidP="003D2437">
      <w:pPr>
        <w:pStyle w:val="ListParagraph"/>
        <w:ind w:left="0"/>
        <w:jc w:val="center"/>
      </w:pPr>
    </w:p>
    <w:p w14:paraId="60882782" w14:textId="62608024" w:rsidR="007633AF" w:rsidRDefault="007633AF" w:rsidP="003D2437">
      <w:pPr>
        <w:pStyle w:val="ListParagraph"/>
        <w:ind w:left="0"/>
        <w:jc w:val="center"/>
      </w:pPr>
    </w:p>
    <w:p w14:paraId="2B20BDB8" w14:textId="221B111D" w:rsidR="007633AF" w:rsidRDefault="007633AF" w:rsidP="003D2437">
      <w:pPr>
        <w:pStyle w:val="ListParagraph"/>
        <w:ind w:left="0"/>
        <w:jc w:val="center"/>
      </w:pPr>
    </w:p>
    <w:p w14:paraId="036C5424" w14:textId="6DE48AF1" w:rsidR="007633AF" w:rsidRDefault="007633AF" w:rsidP="003D2437">
      <w:pPr>
        <w:pStyle w:val="ListParagraph"/>
        <w:ind w:left="0"/>
        <w:jc w:val="center"/>
      </w:pPr>
    </w:p>
    <w:p w14:paraId="73B343A6" w14:textId="3F371A23" w:rsidR="007633AF" w:rsidRDefault="007633AF" w:rsidP="003D2437">
      <w:pPr>
        <w:pStyle w:val="ListParagraph"/>
        <w:ind w:left="0"/>
        <w:jc w:val="center"/>
      </w:pPr>
    </w:p>
    <w:p w14:paraId="3FF27AAB" w14:textId="5458D6AD" w:rsidR="007633AF" w:rsidRDefault="007633AF" w:rsidP="003D2437">
      <w:pPr>
        <w:pStyle w:val="ListParagraph"/>
        <w:ind w:left="0"/>
        <w:jc w:val="center"/>
      </w:pPr>
    </w:p>
    <w:p w14:paraId="6F307B8B" w14:textId="32007563" w:rsidR="007633AF" w:rsidRDefault="007633AF" w:rsidP="003D2437">
      <w:pPr>
        <w:pStyle w:val="ListParagraph"/>
        <w:ind w:left="0"/>
        <w:jc w:val="center"/>
      </w:pPr>
    </w:p>
    <w:p w14:paraId="56A43466" w14:textId="747B1A4C" w:rsidR="007633AF" w:rsidRDefault="007633AF" w:rsidP="003D2437">
      <w:pPr>
        <w:pStyle w:val="ListParagraph"/>
        <w:ind w:left="0"/>
        <w:jc w:val="center"/>
      </w:pPr>
    </w:p>
    <w:p w14:paraId="31ACCF5E" w14:textId="4D9C296E" w:rsidR="007633AF" w:rsidRDefault="007633AF" w:rsidP="003D2437">
      <w:pPr>
        <w:pStyle w:val="ListParagraph"/>
        <w:ind w:left="0"/>
        <w:jc w:val="center"/>
      </w:pPr>
    </w:p>
    <w:p w14:paraId="7AEE4A75" w14:textId="22AB611E" w:rsidR="007633AF" w:rsidRDefault="007633AF" w:rsidP="003D2437">
      <w:pPr>
        <w:pStyle w:val="ListParagraph"/>
        <w:ind w:left="0"/>
        <w:jc w:val="center"/>
      </w:pPr>
    </w:p>
    <w:p w14:paraId="23B9840E" w14:textId="1F0BE3DB" w:rsidR="007633AF" w:rsidRDefault="007633AF" w:rsidP="003D2437">
      <w:pPr>
        <w:pStyle w:val="ListParagraph"/>
        <w:ind w:left="0"/>
        <w:jc w:val="center"/>
      </w:pPr>
    </w:p>
    <w:p w14:paraId="26310913" w14:textId="4235E070" w:rsidR="007633AF" w:rsidRDefault="007633AF" w:rsidP="003D2437">
      <w:pPr>
        <w:pStyle w:val="ListParagraph"/>
        <w:ind w:left="0"/>
        <w:jc w:val="center"/>
      </w:pPr>
    </w:p>
    <w:p w14:paraId="30C86EB1" w14:textId="77777777" w:rsidR="007633AF" w:rsidRDefault="007633AF" w:rsidP="00B556F7">
      <w:pPr>
        <w:pStyle w:val="ListParagraph"/>
        <w:ind w:left="0"/>
      </w:pPr>
    </w:p>
    <w:p w14:paraId="22A68AC0" w14:textId="6A25A3B1" w:rsidR="003D2437" w:rsidRDefault="003D2437" w:rsidP="003D2437">
      <w:pPr>
        <w:pStyle w:val="ListParagraph"/>
        <w:ind w:left="0"/>
        <w:jc w:val="center"/>
      </w:pPr>
    </w:p>
    <w:p w14:paraId="4105A321" w14:textId="104FFD10" w:rsidR="003D2437" w:rsidRDefault="003D2437" w:rsidP="003D2437">
      <w:pPr>
        <w:pStyle w:val="ListParagraph"/>
        <w:ind w:left="0"/>
        <w:jc w:val="center"/>
      </w:pPr>
    </w:p>
    <w:p w14:paraId="67ABFAA5" w14:textId="4BBB6FBF" w:rsidR="003D2437" w:rsidRDefault="003D2437" w:rsidP="003D2437">
      <w:pPr>
        <w:pStyle w:val="ListParagraph"/>
        <w:ind w:left="0"/>
        <w:jc w:val="center"/>
      </w:pPr>
    </w:p>
    <w:p w14:paraId="70BACA20" w14:textId="48E9225D" w:rsidR="003D2437" w:rsidRDefault="003D2437" w:rsidP="003D2437">
      <w:pPr>
        <w:pStyle w:val="ListParagraph"/>
        <w:ind w:left="0"/>
        <w:jc w:val="center"/>
      </w:pPr>
    </w:p>
    <w:p w14:paraId="195C9133" w14:textId="77777777" w:rsidR="003D2437" w:rsidRDefault="003D2437" w:rsidP="003D2437">
      <w:pPr>
        <w:pStyle w:val="ListParagraph"/>
        <w:ind w:left="0"/>
        <w:jc w:val="center"/>
      </w:pPr>
    </w:p>
    <w:p w14:paraId="6A019D94" w14:textId="77777777" w:rsidR="003D2437" w:rsidRDefault="003D2437" w:rsidP="003D2437">
      <w:pPr>
        <w:pStyle w:val="ListParagraph"/>
        <w:ind w:left="0"/>
        <w:jc w:val="center"/>
      </w:pPr>
    </w:p>
    <w:p w14:paraId="3E3960C0" w14:textId="77777777" w:rsidR="003D2437" w:rsidRDefault="003D2437" w:rsidP="003D2437">
      <w:pPr>
        <w:pStyle w:val="ListParagraph"/>
        <w:ind w:left="0"/>
        <w:jc w:val="center"/>
      </w:pPr>
    </w:p>
    <w:p w14:paraId="7C92237E" w14:textId="77777777" w:rsidR="003D2437" w:rsidRDefault="003D2437" w:rsidP="003D2437">
      <w:pPr>
        <w:pStyle w:val="ListParagraph"/>
        <w:ind w:left="0"/>
        <w:jc w:val="center"/>
      </w:pPr>
    </w:p>
    <w:p w14:paraId="7E65DBB9" w14:textId="77777777" w:rsidR="003D2437" w:rsidRDefault="003D2437" w:rsidP="003D2437">
      <w:pPr>
        <w:pStyle w:val="ListParagraph"/>
        <w:ind w:left="0"/>
        <w:jc w:val="center"/>
      </w:pPr>
    </w:p>
    <w:p w14:paraId="23F1310B" w14:textId="3CF24608" w:rsidR="005D199A" w:rsidRDefault="003D2437" w:rsidP="005D199A">
      <w:pPr>
        <w:pStyle w:val="ListParagraph"/>
        <w:ind w:left="0"/>
        <w:jc w:val="center"/>
        <w:rPr>
          <w:b/>
          <w:sz w:val="36"/>
          <w:szCs w:val="36"/>
        </w:rPr>
      </w:pPr>
      <w:r w:rsidRPr="009869F7">
        <w:rPr>
          <w:b/>
          <w:sz w:val="36"/>
          <w:szCs w:val="36"/>
        </w:rPr>
        <w:t xml:space="preserve">Appendix </w:t>
      </w:r>
      <w:r w:rsidR="001A331C">
        <w:rPr>
          <w:b/>
          <w:sz w:val="36"/>
          <w:szCs w:val="36"/>
        </w:rPr>
        <w:t>B</w:t>
      </w:r>
    </w:p>
    <w:p w14:paraId="19CDFB0E" w14:textId="321BB74C" w:rsidR="00CC617E" w:rsidRPr="009869F7" w:rsidRDefault="00CC617E" w:rsidP="003D2437">
      <w:pPr>
        <w:pStyle w:val="ListParagraph"/>
        <w:ind w:left="0"/>
        <w:jc w:val="center"/>
        <w:rPr>
          <w:b/>
          <w:sz w:val="36"/>
          <w:szCs w:val="36"/>
        </w:rPr>
      </w:pPr>
      <w:r>
        <w:rPr>
          <w:b/>
          <w:sz w:val="36"/>
          <w:szCs w:val="36"/>
        </w:rPr>
        <w:t>Tamarack I Groundwater Recharge Project</w:t>
      </w:r>
    </w:p>
    <w:p w14:paraId="47EE4070" w14:textId="77777777" w:rsidR="009869F7" w:rsidRDefault="009869F7" w:rsidP="003D2437">
      <w:pPr>
        <w:pStyle w:val="ListParagraph"/>
        <w:ind w:left="0"/>
        <w:jc w:val="center"/>
      </w:pPr>
    </w:p>
    <w:p w14:paraId="07998D7B" w14:textId="4AE5FD98" w:rsidR="004E50C2" w:rsidRPr="00CC617E" w:rsidRDefault="00BA2D41" w:rsidP="00CC617E">
      <w:pPr>
        <w:jc w:val="center"/>
      </w:pPr>
      <w:r>
        <w:t>State of Colorado, Tamarack I Annual Report for 2017</w:t>
      </w:r>
      <w:r w:rsidR="00CC617E">
        <w:t xml:space="preserve"> (</w:t>
      </w:r>
      <w:r>
        <w:t>April 23, 2018</w:t>
      </w:r>
      <w:r w:rsidR="00CC617E">
        <w:t>)</w:t>
      </w:r>
    </w:p>
    <w:p w14:paraId="34DF7E8E" w14:textId="6093E427" w:rsidR="00BA2D41" w:rsidRDefault="00BA2D41" w:rsidP="00BA2D41">
      <w:pPr>
        <w:rPr>
          <w:b/>
        </w:rPr>
      </w:pPr>
    </w:p>
    <w:p w14:paraId="03CCBABF" w14:textId="77777777" w:rsidR="003D2437" w:rsidRDefault="003D2437" w:rsidP="00BA2D41">
      <w:r>
        <w:br w:type="page"/>
      </w:r>
    </w:p>
    <w:p w14:paraId="047DAC2A" w14:textId="77777777" w:rsidR="003D2437" w:rsidRDefault="003D2437" w:rsidP="00BA2D41"/>
    <w:p w14:paraId="66B30139" w14:textId="77777777" w:rsidR="003D2437" w:rsidRDefault="003D2437" w:rsidP="00BA2D41"/>
    <w:p w14:paraId="2C4C3864" w14:textId="77777777" w:rsidR="003D2437" w:rsidRDefault="003D2437" w:rsidP="00BA2D41"/>
    <w:p w14:paraId="66613020" w14:textId="016670FD" w:rsidR="003D2437" w:rsidRDefault="003D2437" w:rsidP="00BA2D41"/>
    <w:p w14:paraId="52095301" w14:textId="77777777" w:rsidR="007633AF" w:rsidRDefault="007633AF" w:rsidP="00BA2D41"/>
    <w:p w14:paraId="04D7FB79" w14:textId="77777777" w:rsidR="003D2437" w:rsidRDefault="003D2437" w:rsidP="00BA2D41"/>
    <w:p w14:paraId="11A672EB" w14:textId="77777777" w:rsidR="003D2437" w:rsidRDefault="003D2437" w:rsidP="00BA2D41"/>
    <w:p w14:paraId="66EDFAB0" w14:textId="77777777" w:rsidR="003D2437" w:rsidRDefault="003D2437" w:rsidP="00BA2D41"/>
    <w:p w14:paraId="56877DB8" w14:textId="77777777" w:rsidR="003D2437" w:rsidRDefault="003D2437" w:rsidP="00BA2D41"/>
    <w:p w14:paraId="33D328E2" w14:textId="77777777" w:rsidR="003D2437" w:rsidRDefault="003D2437" w:rsidP="00BA2D41"/>
    <w:p w14:paraId="24A48855" w14:textId="357581CA" w:rsidR="00BA2D41" w:rsidRDefault="00BA2D41" w:rsidP="003D2437">
      <w:pPr>
        <w:jc w:val="center"/>
        <w:rPr>
          <w:b/>
          <w:sz w:val="36"/>
          <w:szCs w:val="36"/>
        </w:rPr>
      </w:pPr>
      <w:r w:rsidRPr="009869F7">
        <w:rPr>
          <w:b/>
          <w:sz w:val="36"/>
          <w:szCs w:val="36"/>
        </w:rPr>
        <w:t xml:space="preserve">Appendix </w:t>
      </w:r>
      <w:r w:rsidR="001A331C">
        <w:rPr>
          <w:b/>
          <w:sz w:val="36"/>
          <w:szCs w:val="36"/>
        </w:rPr>
        <w:t>C</w:t>
      </w:r>
    </w:p>
    <w:p w14:paraId="5F3D2EF6" w14:textId="6D191740" w:rsidR="00CC617E" w:rsidRDefault="00CC617E" w:rsidP="003D2437">
      <w:pPr>
        <w:jc w:val="center"/>
        <w:rPr>
          <w:b/>
          <w:sz w:val="36"/>
          <w:szCs w:val="36"/>
        </w:rPr>
      </w:pPr>
      <w:r>
        <w:rPr>
          <w:b/>
          <w:sz w:val="36"/>
          <w:szCs w:val="36"/>
        </w:rPr>
        <w:t>Phelps County Canal Groundwater Recharge</w:t>
      </w:r>
    </w:p>
    <w:p w14:paraId="640860AE" w14:textId="742A53A6" w:rsidR="00CC617E" w:rsidRPr="009869F7" w:rsidRDefault="00CC617E" w:rsidP="003D2437">
      <w:pPr>
        <w:jc w:val="center"/>
        <w:rPr>
          <w:b/>
          <w:sz w:val="36"/>
          <w:szCs w:val="36"/>
        </w:rPr>
      </w:pPr>
      <w:r>
        <w:rPr>
          <w:b/>
          <w:sz w:val="36"/>
          <w:szCs w:val="36"/>
        </w:rPr>
        <w:t>Cook Recapture Well</w:t>
      </w:r>
    </w:p>
    <w:p w14:paraId="33F24685" w14:textId="77777777" w:rsidR="003D2437" w:rsidRDefault="003D2437" w:rsidP="003D2437">
      <w:pPr>
        <w:jc w:val="center"/>
      </w:pPr>
    </w:p>
    <w:p w14:paraId="2EA2A9DA" w14:textId="3DBB6AFB" w:rsidR="00CC617E" w:rsidRDefault="00CC617E" w:rsidP="00CC617E">
      <w:pPr>
        <w:ind w:left="360"/>
        <w:jc w:val="center"/>
      </w:pPr>
      <w:r>
        <w:t>Cook Well Permit (December 1, 2015)</w:t>
      </w:r>
    </w:p>
    <w:p w14:paraId="0F32D2AF" w14:textId="77777777" w:rsidR="00CC617E" w:rsidRDefault="00CC617E" w:rsidP="003D2437">
      <w:pPr>
        <w:ind w:left="360"/>
        <w:jc w:val="center"/>
      </w:pPr>
    </w:p>
    <w:p w14:paraId="030B378F" w14:textId="08A6DDC6" w:rsidR="00BA2D41" w:rsidRDefault="00BA2D41" w:rsidP="003D2437">
      <w:pPr>
        <w:ind w:left="360"/>
        <w:jc w:val="center"/>
      </w:pPr>
      <w:r>
        <w:t>VAR-6282</w:t>
      </w:r>
      <w:r w:rsidR="00CC617E">
        <w:t xml:space="preserve"> Order (</w:t>
      </w:r>
      <w:r>
        <w:t>September 6, 2017</w:t>
      </w:r>
      <w:r w:rsidR="00CC617E">
        <w:t>)</w:t>
      </w:r>
    </w:p>
    <w:p w14:paraId="53F16676" w14:textId="77777777" w:rsidR="00CC617E" w:rsidRDefault="00CC617E" w:rsidP="003D2437">
      <w:pPr>
        <w:ind w:left="360"/>
        <w:jc w:val="center"/>
      </w:pPr>
    </w:p>
    <w:p w14:paraId="321869CF" w14:textId="15BF8DED" w:rsidR="00BA2D41" w:rsidRDefault="00BA2D41" w:rsidP="003D2437">
      <w:pPr>
        <w:ind w:left="360"/>
        <w:jc w:val="center"/>
      </w:pPr>
      <w:r>
        <w:t>Water Service Agreement</w:t>
      </w:r>
      <w:r w:rsidR="005D199A">
        <w:t xml:space="preserve"> Between CNPPID and Program</w:t>
      </w:r>
      <w:r w:rsidR="00CC617E">
        <w:t xml:space="preserve"> (</w:t>
      </w:r>
      <w:r>
        <w:t>October 20, 2017</w:t>
      </w:r>
      <w:r w:rsidR="00CC617E">
        <w:t>)</w:t>
      </w:r>
    </w:p>
    <w:p w14:paraId="3C17C375" w14:textId="77777777" w:rsidR="00CC617E" w:rsidRDefault="00CC617E" w:rsidP="003D2437">
      <w:pPr>
        <w:ind w:left="360"/>
        <w:jc w:val="center"/>
      </w:pPr>
    </w:p>
    <w:p w14:paraId="62550F0A" w14:textId="2605A0E0" w:rsidR="00BA2D41" w:rsidRDefault="00BA2D41" w:rsidP="003D2437">
      <w:pPr>
        <w:ind w:left="360"/>
        <w:jc w:val="center"/>
      </w:pPr>
      <w:r>
        <w:t>A-19560</w:t>
      </w:r>
      <w:r w:rsidR="005D199A">
        <w:t xml:space="preserve"> Application Approval</w:t>
      </w:r>
      <w:r>
        <w:t xml:space="preserve"> (December 1, 2017)</w:t>
      </w:r>
    </w:p>
    <w:p w14:paraId="40F97EED" w14:textId="3E8723DD" w:rsidR="005D199A" w:rsidRDefault="005D199A" w:rsidP="003D2437">
      <w:pPr>
        <w:ind w:left="360"/>
        <w:jc w:val="center"/>
      </w:pPr>
    </w:p>
    <w:p w14:paraId="0F0A948A" w14:textId="21E4A86E" w:rsidR="00BA2D41" w:rsidRDefault="00BA2D41" w:rsidP="003D2437">
      <w:pPr>
        <w:ind w:left="360"/>
        <w:jc w:val="center"/>
      </w:pPr>
      <w:r>
        <w:t xml:space="preserve">CNPPID </w:t>
      </w:r>
      <w:r w:rsidR="005D199A">
        <w:t>I</w:t>
      </w:r>
      <w:r>
        <w:t xml:space="preserve">nvoice for Phelps </w:t>
      </w:r>
      <w:r w:rsidR="005D199A">
        <w:t>R</w:t>
      </w:r>
      <w:r>
        <w:t xml:space="preserve">echarge, 1/1/18-2/12/18 (April </w:t>
      </w:r>
      <w:r w:rsidR="00852D1D">
        <w:t>17</w:t>
      </w:r>
      <w:r>
        <w:t>, 2018)</w:t>
      </w:r>
    </w:p>
    <w:p w14:paraId="1C0EA767" w14:textId="7938E08C" w:rsidR="005D199A" w:rsidRDefault="005D199A" w:rsidP="003D2437">
      <w:pPr>
        <w:ind w:left="360"/>
        <w:jc w:val="center"/>
      </w:pPr>
    </w:p>
    <w:p w14:paraId="160B5BAA" w14:textId="2E318FEC" w:rsidR="005D199A" w:rsidRDefault="005D199A" w:rsidP="003D2437">
      <w:pPr>
        <w:ind w:left="360"/>
        <w:jc w:val="center"/>
      </w:pPr>
      <w:r>
        <w:t>VAR-7108 Order (October 15, 2018)</w:t>
      </w:r>
    </w:p>
    <w:p w14:paraId="3E6B251B" w14:textId="2F7B4484" w:rsidR="005D199A" w:rsidRDefault="005D199A" w:rsidP="003D2437">
      <w:pPr>
        <w:ind w:left="360"/>
        <w:jc w:val="center"/>
      </w:pPr>
    </w:p>
    <w:p w14:paraId="27004F46" w14:textId="6FA7120E" w:rsidR="005D199A" w:rsidRDefault="005D199A" w:rsidP="003D2437">
      <w:pPr>
        <w:ind w:left="360"/>
        <w:jc w:val="center"/>
      </w:pPr>
      <w:r>
        <w:t>A-19617 Application Approval (November 30, 2018)</w:t>
      </w:r>
    </w:p>
    <w:p w14:paraId="46EDA2E8" w14:textId="77777777" w:rsidR="00CC617E" w:rsidRDefault="00CC617E" w:rsidP="003D2437">
      <w:pPr>
        <w:ind w:left="360"/>
        <w:jc w:val="center"/>
      </w:pPr>
    </w:p>
    <w:p w14:paraId="5DAFB5B3" w14:textId="34BD17D4" w:rsidR="00BA2D41" w:rsidRDefault="00BA2D41" w:rsidP="003D2437">
      <w:pPr>
        <w:ind w:left="360"/>
        <w:jc w:val="center"/>
      </w:pPr>
      <w:r>
        <w:t xml:space="preserve">Cook Well Report to </w:t>
      </w:r>
      <w:r w:rsidR="005D199A">
        <w:t xml:space="preserve">Tri-Basin </w:t>
      </w:r>
      <w:r>
        <w:t>NRD (January 8, 2019)</w:t>
      </w:r>
    </w:p>
    <w:p w14:paraId="5547E1E0" w14:textId="41B1419D" w:rsidR="005D199A" w:rsidRDefault="005D199A" w:rsidP="003D2437">
      <w:pPr>
        <w:ind w:left="360"/>
        <w:jc w:val="center"/>
      </w:pPr>
    </w:p>
    <w:p w14:paraId="482F0BD0" w14:textId="788790B8" w:rsidR="005D199A" w:rsidRDefault="005D199A" w:rsidP="003D2437">
      <w:pPr>
        <w:ind w:left="360"/>
        <w:jc w:val="center"/>
      </w:pPr>
      <w:r>
        <w:t>CNPPID Invoice for Phelps Recharge, 11/19/18-12/31/18 (January 14, 2019)</w:t>
      </w:r>
    </w:p>
    <w:p w14:paraId="309395CF" w14:textId="6FCECDB6" w:rsidR="00BA2D41" w:rsidRDefault="00BA2D41" w:rsidP="00BA2D41"/>
    <w:p w14:paraId="31D22DE4" w14:textId="77777777" w:rsidR="003D2437" w:rsidRDefault="003D2437">
      <w:r>
        <w:br w:type="page"/>
      </w:r>
    </w:p>
    <w:p w14:paraId="4E17A893" w14:textId="77777777" w:rsidR="003D2437" w:rsidRDefault="003D2437" w:rsidP="00BA2D41"/>
    <w:p w14:paraId="43D9C029" w14:textId="77777777" w:rsidR="003D2437" w:rsidRDefault="003D2437" w:rsidP="00BA2D41"/>
    <w:p w14:paraId="0C3E7B2E" w14:textId="77777777" w:rsidR="003D2437" w:rsidRDefault="003D2437" w:rsidP="00BA2D41"/>
    <w:p w14:paraId="5ACE230F" w14:textId="77777777" w:rsidR="003D2437" w:rsidRDefault="003D2437" w:rsidP="00BA2D41"/>
    <w:p w14:paraId="48395EB0" w14:textId="77777777" w:rsidR="003D2437" w:rsidRDefault="003D2437" w:rsidP="00BA2D41"/>
    <w:p w14:paraId="7F36C598" w14:textId="77777777" w:rsidR="003D2437" w:rsidRDefault="003D2437" w:rsidP="00BA2D41"/>
    <w:p w14:paraId="14AA66E1" w14:textId="77777777" w:rsidR="003D2437" w:rsidRDefault="003D2437" w:rsidP="00BA2D41"/>
    <w:p w14:paraId="00AF7BDD" w14:textId="77777777" w:rsidR="003D2437" w:rsidRDefault="003D2437" w:rsidP="00BA2D41"/>
    <w:p w14:paraId="2299DF77" w14:textId="77777777" w:rsidR="003D2437" w:rsidRDefault="003D2437" w:rsidP="00BA2D41"/>
    <w:p w14:paraId="26D922C7" w14:textId="77777777" w:rsidR="003D2437" w:rsidRDefault="003D2437" w:rsidP="00BA2D41"/>
    <w:p w14:paraId="6BB6C097" w14:textId="7800F6E6" w:rsidR="00BA2D41" w:rsidRDefault="00BA2D41" w:rsidP="003D2437">
      <w:pPr>
        <w:jc w:val="center"/>
        <w:rPr>
          <w:b/>
          <w:sz w:val="36"/>
          <w:szCs w:val="36"/>
        </w:rPr>
      </w:pPr>
      <w:r w:rsidRPr="009869F7">
        <w:rPr>
          <w:b/>
          <w:sz w:val="36"/>
          <w:szCs w:val="36"/>
        </w:rPr>
        <w:t xml:space="preserve">Appendix </w:t>
      </w:r>
      <w:r w:rsidR="001A331C">
        <w:rPr>
          <w:b/>
          <w:sz w:val="36"/>
          <w:szCs w:val="36"/>
        </w:rPr>
        <w:t>D</w:t>
      </w:r>
    </w:p>
    <w:p w14:paraId="5D667541" w14:textId="49985B55" w:rsidR="00B66ECA" w:rsidRPr="009869F7" w:rsidRDefault="00B66ECA" w:rsidP="003D2437">
      <w:pPr>
        <w:jc w:val="center"/>
        <w:rPr>
          <w:b/>
          <w:sz w:val="36"/>
          <w:szCs w:val="36"/>
        </w:rPr>
      </w:pPr>
      <w:r>
        <w:rPr>
          <w:b/>
          <w:sz w:val="36"/>
          <w:szCs w:val="36"/>
        </w:rPr>
        <w:t>Elwood Reservoir Groundwater Recharge</w:t>
      </w:r>
    </w:p>
    <w:p w14:paraId="7654F5B5" w14:textId="0B3F0460" w:rsidR="003D2437" w:rsidRDefault="003D2437" w:rsidP="003D2437">
      <w:pPr>
        <w:jc w:val="center"/>
      </w:pPr>
    </w:p>
    <w:p w14:paraId="0B978A0E" w14:textId="47E3379B" w:rsidR="00B66ECA" w:rsidRDefault="00B66ECA" w:rsidP="003D2437">
      <w:pPr>
        <w:jc w:val="center"/>
      </w:pPr>
      <w:r>
        <w:t>VAR-6281 Order (September 6, 2017)</w:t>
      </w:r>
    </w:p>
    <w:p w14:paraId="72D90242" w14:textId="0A388CB9" w:rsidR="00B66ECA" w:rsidRDefault="00B66ECA" w:rsidP="003D2437">
      <w:pPr>
        <w:jc w:val="center"/>
      </w:pPr>
    </w:p>
    <w:p w14:paraId="367B5AAB" w14:textId="17AF3539" w:rsidR="00B66ECA" w:rsidRDefault="00B66ECA" w:rsidP="003D2437">
      <w:pPr>
        <w:jc w:val="center"/>
      </w:pPr>
      <w:r>
        <w:t>A-19559 Application Approval (September 26, 2017)</w:t>
      </w:r>
    </w:p>
    <w:p w14:paraId="37998C85" w14:textId="18B0A8BB" w:rsidR="00B66ECA" w:rsidRDefault="00B66ECA" w:rsidP="003D2437">
      <w:pPr>
        <w:jc w:val="center"/>
      </w:pPr>
    </w:p>
    <w:p w14:paraId="4C45BC50" w14:textId="5CC9CAFF" w:rsidR="00B66ECA" w:rsidRDefault="00B66ECA" w:rsidP="003D2437">
      <w:pPr>
        <w:jc w:val="center"/>
      </w:pPr>
      <w:r>
        <w:t>Water Service Agreement Between CNPPID and Program (October 20, 2017)</w:t>
      </w:r>
    </w:p>
    <w:p w14:paraId="447D85F5" w14:textId="1E88E25F" w:rsidR="00B66ECA" w:rsidRDefault="00B66ECA" w:rsidP="003D2437">
      <w:pPr>
        <w:jc w:val="center"/>
      </w:pPr>
    </w:p>
    <w:p w14:paraId="04610C3D" w14:textId="0CA99783" w:rsidR="00B66ECA" w:rsidRDefault="00B66ECA" w:rsidP="003D2437">
      <w:pPr>
        <w:jc w:val="center"/>
      </w:pPr>
      <w:r>
        <w:t>Amendment No. 1 to Water Service Agreement (January 8, 2018)</w:t>
      </w:r>
    </w:p>
    <w:p w14:paraId="61263F59" w14:textId="13593378" w:rsidR="00B66ECA" w:rsidRDefault="00B66ECA" w:rsidP="003D2437">
      <w:pPr>
        <w:jc w:val="center"/>
      </w:pPr>
    </w:p>
    <w:p w14:paraId="601838EA" w14:textId="5572ED0B" w:rsidR="00B66ECA" w:rsidRDefault="00B66ECA" w:rsidP="003D2437">
      <w:pPr>
        <w:jc w:val="center"/>
      </w:pPr>
      <w:r>
        <w:t>CNPPID Invoice for Elwood Recharge, 1/5/18-2/9/18 (April 6, 2018)</w:t>
      </w:r>
    </w:p>
    <w:p w14:paraId="34FCA74C" w14:textId="5BAAE274" w:rsidR="00B66ECA" w:rsidRDefault="00B66ECA" w:rsidP="003D2437">
      <w:pPr>
        <w:jc w:val="center"/>
      </w:pPr>
    </w:p>
    <w:p w14:paraId="45BE5FCC" w14:textId="20BF53F9" w:rsidR="00B66ECA" w:rsidRDefault="00B66ECA" w:rsidP="003D2437">
      <w:pPr>
        <w:jc w:val="center"/>
      </w:pPr>
      <w:r>
        <w:t>VAR-7108 Order (October 15, 2018)</w:t>
      </w:r>
    </w:p>
    <w:p w14:paraId="67054C80" w14:textId="5154AA8F" w:rsidR="00B66ECA" w:rsidRDefault="00B66ECA" w:rsidP="003D2437">
      <w:pPr>
        <w:jc w:val="center"/>
      </w:pPr>
    </w:p>
    <w:p w14:paraId="3820048B" w14:textId="32105047" w:rsidR="00B66ECA" w:rsidRDefault="00B66ECA" w:rsidP="003D2437">
      <w:pPr>
        <w:jc w:val="center"/>
      </w:pPr>
      <w:r>
        <w:t>Amendment No. 2 to Water Service Agreement (November 26, 2018)</w:t>
      </w:r>
    </w:p>
    <w:p w14:paraId="36E48039" w14:textId="7717C8AB" w:rsidR="00B66ECA" w:rsidRDefault="00B66ECA" w:rsidP="003D2437">
      <w:pPr>
        <w:jc w:val="center"/>
      </w:pPr>
    </w:p>
    <w:p w14:paraId="667A50A3" w14:textId="74F81471" w:rsidR="00B66ECA" w:rsidRDefault="00B66ECA" w:rsidP="003D2437">
      <w:pPr>
        <w:jc w:val="center"/>
      </w:pPr>
      <w:r>
        <w:t>A-19617 Application Approval (November 30, 2018)</w:t>
      </w:r>
    </w:p>
    <w:p w14:paraId="6C3533ED" w14:textId="5015F51F" w:rsidR="00B66ECA" w:rsidRDefault="00B66ECA" w:rsidP="003D2437">
      <w:pPr>
        <w:jc w:val="center"/>
      </w:pPr>
    </w:p>
    <w:p w14:paraId="756980FF" w14:textId="0129FED2" w:rsidR="00B66ECA" w:rsidRDefault="00B66ECA" w:rsidP="003D2437">
      <w:pPr>
        <w:jc w:val="center"/>
      </w:pPr>
      <w:r>
        <w:t>CNPPID Invoice for Elwood Recharge, 12/3/18-12/31/18 (January 14, 2019)</w:t>
      </w:r>
    </w:p>
    <w:p w14:paraId="5B47597D" w14:textId="5B40FD34" w:rsidR="003D2437" w:rsidRDefault="003D2437" w:rsidP="003D2437">
      <w:pPr>
        <w:jc w:val="center"/>
      </w:pPr>
    </w:p>
    <w:p w14:paraId="673EAA33" w14:textId="6A145F76" w:rsidR="003D2437" w:rsidRDefault="003D2437">
      <w:r>
        <w:br w:type="page"/>
      </w:r>
    </w:p>
    <w:p w14:paraId="2A9F1227" w14:textId="3388254E" w:rsidR="003D2437" w:rsidRDefault="003D2437" w:rsidP="003D2437">
      <w:pPr>
        <w:jc w:val="center"/>
      </w:pPr>
    </w:p>
    <w:p w14:paraId="090BF196" w14:textId="2A3FCF93" w:rsidR="003D2437" w:rsidRDefault="003D2437" w:rsidP="003D2437">
      <w:pPr>
        <w:jc w:val="center"/>
      </w:pPr>
    </w:p>
    <w:p w14:paraId="6D0B0A33" w14:textId="5B933186" w:rsidR="003D2437" w:rsidRDefault="003D2437" w:rsidP="003D2437">
      <w:pPr>
        <w:jc w:val="center"/>
      </w:pPr>
    </w:p>
    <w:p w14:paraId="38DFCA35" w14:textId="7C5D15A3" w:rsidR="003D2437" w:rsidRDefault="003D2437" w:rsidP="003D2437">
      <w:pPr>
        <w:jc w:val="center"/>
      </w:pPr>
    </w:p>
    <w:p w14:paraId="1A140BDF" w14:textId="0E183505" w:rsidR="003D2437" w:rsidRDefault="003D2437" w:rsidP="003D2437">
      <w:pPr>
        <w:jc w:val="center"/>
      </w:pPr>
    </w:p>
    <w:p w14:paraId="51B6AD79" w14:textId="6829DEAF" w:rsidR="003D2437" w:rsidRDefault="003D2437" w:rsidP="003D2437">
      <w:pPr>
        <w:jc w:val="center"/>
      </w:pPr>
    </w:p>
    <w:p w14:paraId="2950D6B6" w14:textId="1D49D69E" w:rsidR="003D2437" w:rsidRDefault="003D2437" w:rsidP="003D2437">
      <w:pPr>
        <w:jc w:val="center"/>
      </w:pPr>
    </w:p>
    <w:p w14:paraId="34BB1E5A" w14:textId="098829F5" w:rsidR="003D2437" w:rsidRDefault="003D2437" w:rsidP="003D2437">
      <w:pPr>
        <w:jc w:val="center"/>
      </w:pPr>
    </w:p>
    <w:p w14:paraId="47BE4584" w14:textId="697DA48E" w:rsidR="003D2437" w:rsidRDefault="003D2437" w:rsidP="003D2437">
      <w:pPr>
        <w:jc w:val="center"/>
      </w:pPr>
    </w:p>
    <w:p w14:paraId="141EBFFE" w14:textId="7AB83608" w:rsidR="003D2437" w:rsidRDefault="003D2437" w:rsidP="003D2437">
      <w:pPr>
        <w:jc w:val="center"/>
      </w:pPr>
    </w:p>
    <w:p w14:paraId="07FDCB0B" w14:textId="580CD18F" w:rsidR="003D2437" w:rsidRDefault="003D2437" w:rsidP="003D2437">
      <w:pPr>
        <w:jc w:val="center"/>
        <w:rPr>
          <w:b/>
          <w:sz w:val="36"/>
          <w:szCs w:val="36"/>
        </w:rPr>
      </w:pPr>
      <w:r w:rsidRPr="009869F7">
        <w:rPr>
          <w:b/>
          <w:sz w:val="36"/>
          <w:szCs w:val="36"/>
        </w:rPr>
        <w:t xml:space="preserve">Appendix </w:t>
      </w:r>
      <w:r w:rsidR="001A331C">
        <w:rPr>
          <w:b/>
          <w:sz w:val="36"/>
          <w:szCs w:val="36"/>
        </w:rPr>
        <w:t>E</w:t>
      </w:r>
    </w:p>
    <w:p w14:paraId="4D3BAE46" w14:textId="0EE1B6DA" w:rsidR="001B1FF0" w:rsidRPr="009869F7" w:rsidRDefault="001B1FF0" w:rsidP="003D2437">
      <w:pPr>
        <w:jc w:val="center"/>
        <w:rPr>
          <w:b/>
          <w:sz w:val="36"/>
          <w:szCs w:val="36"/>
        </w:rPr>
      </w:pPr>
      <w:r>
        <w:rPr>
          <w:b/>
          <w:sz w:val="36"/>
          <w:szCs w:val="36"/>
        </w:rPr>
        <w:t>CPNRD Groundwater Recharge</w:t>
      </w:r>
    </w:p>
    <w:p w14:paraId="19D77C88" w14:textId="769DE988" w:rsidR="003D2437" w:rsidRDefault="003D2437" w:rsidP="003D2437">
      <w:pPr>
        <w:jc w:val="center"/>
      </w:pPr>
    </w:p>
    <w:p w14:paraId="23150D34" w14:textId="27EC9A85" w:rsidR="001B1FF0" w:rsidRDefault="001B1FF0" w:rsidP="003D2437">
      <w:pPr>
        <w:jc w:val="center"/>
      </w:pPr>
      <w:r>
        <w:t>Water Use Lease Agreement Between CPNRD and Program (December 4, 2013)</w:t>
      </w:r>
    </w:p>
    <w:p w14:paraId="3AF0B596" w14:textId="3F730A18" w:rsidR="001B1FF0" w:rsidRDefault="001B1FF0" w:rsidP="003D2437">
      <w:pPr>
        <w:jc w:val="center"/>
      </w:pPr>
    </w:p>
    <w:p w14:paraId="3B5702F3" w14:textId="1D254686" w:rsidR="001B1FF0" w:rsidRDefault="001B1FF0" w:rsidP="003D2437">
      <w:pPr>
        <w:jc w:val="center"/>
      </w:pPr>
      <w:r>
        <w:t>A-18924 Application Approval for Thirty Mile Canal (March 13, 2015)</w:t>
      </w:r>
    </w:p>
    <w:p w14:paraId="6C5350E6" w14:textId="53537CAB" w:rsidR="001B1FF0" w:rsidRDefault="001B1FF0" w:rsidP="003D2437">
      <w:pPr>
        <w:jc w:val="center"/>
      </w:pPr>
    </w:p>
    <w:p w14:paraId="44E2825D" w14:textId="3A0F4B83" w:rsidR="001B1FF0" w:rsidRDefault="001B1FF0" w:rsidP="003D2437">
      <w:pPr>
        <w:jc w:val="center"/>
      </w:pPr>
      <w:r>
        <w:t>A-18922 Application Approval for Cozad Canal (March 19, 2015)</w:t>
      </w:r>
    </w:p>
    <w:p w14:paraId="77D0A958" w14:textId="1AFD7D1F" w:rsidR="001B1FF0" w:rsidRDefault="001B1FF0" w:rsidP="003D2437">
      <w:pPr>
        <w:jc w:val="center"/>
      </w:pPr>
    </w:p>
    <w:p w14:paraId="09B5D453" w14:textId="46B15A84" w:rsidR="001B1FF0" w:rsidRDefault="001B1FF0" w:rsidP="003D2437">
      <w:pPr>
        <w:jc w:val="center"/>
      </w:pPr>
      <w:r>
        <w:t>A-18923 Application Approval for Orchard-Alfalfa Canal (March 19, 2015)</w:t>
      </w:r>
    </w:p>
    <w:p w14:paraId="1CEA46E8" w14:textId="62AEFAA9" w:rsidR="001B1FF0" w:rsidRDefault="001B1FF0" w:rsidP="003D2437">
      <w:pPr>
        <w:jc w:val="center"/>
      </w:pPr>
    </w:p>
    <w:p w14:paraId="6DD31110" w14:textId="7D57FFB2" w:rsidR="001B1FF0" w:rsidRDefault="001B1FF0" w:rsidP="003D2437">
      <w:pPr>
        <w:jc w:val="center"/>
      </w:pPr>
      <w:r>
        <w:t>Amendment No. 1 to Water Use Lease Agreement (January 1, 2017)</w:t>
      </w:r>
    </w:p>
    <w:p w14:paraId="33F9387D" w14:textId="7AF8F1BE" w:rsidR="001B1FF0" w:rsidRDefault="001B1FF0" w:rsidP="003D2437">
      <w:pPr>
        <w:jc w:val="center"/>
      </w:pPr>
    </w:p>
    <w:p w14:paraId="3B5EFA2A" w14:textId="15BDC79F" w:rsidR="001B1FF0" w:rsidRDefault="001B1FF0" w:rsidP="003D2437">
      <w:pPr>
        <w:jc w:val="center"/>
      </w:pPr>
      <w:r>
        <w:t>CPNRD Lease Rates for 2018 (October 23, 2017)</w:t>
      </w:r>
    </w:p>
    <w:p w14:paraId="2C9FC8F3" w14:textId="08ECCFDF" w:rsidR="001B1FF0" w:rsidRDefault="001B1FF0" w:rsidP="003D2437">
      <w:pPr>
        <w:jc w:val="center"/>
      </w:pPr>
    </w:p>
    <w:p w14:paraId="7FEF5D53" w14:textId="511B8236" w:rsidR="001B1FF0" w:rsidRDefault="001B1FF0" w:rsidP="003D2437">
      <w:pPr>
        <w:jc w:val="center"/>
      </w:pPr>
      <w:r>
        <w:t>CPNRD Invoice for Groundwater Accretions (December 3, 2018)</w:t>
      </w:r>
    </w:p>
    <w:p w14:paraId="475CA7F1" w14:textId="48A39ECB" w:rsidR="003D2437" w:rsidRDefault="003D2437" w:rsidP="003D2437">
      <w:pPr>
        <w:jc w:val="center"/>
      </w:pPr>
    </w:p>
    <w:p w14:paraId="480FAE35" w14:textId="1C9B06A4" w:rsidR="003D2437" w:rsidRDefault="003D2437">
      <w:r>
        <w:br w:type="page"/>
      </w:r>
    </w:p>
    <w:p w14:paraId="025A7DD3" w14:textId="6499BCA0" w:rsidR="003D2437" w:rsidRDefault="003D2437" w:rsidP="003D2437">
      <w:pPr>
        <w:jc w:val="center"/>
      </w:pPr>
    </w:p>
    <w:p w14:paraId="78E63013" w14:textId="31CF339A" w:rsidR="003D2437" w:rsidRDefault="003D2437" w:rsidP="003D2437">
      <w:pPr>
        <w:jc w:val="center"/>
      </w:pPr>
    </w:p>
    <w:p w14:paraId="74FB6798" w14:textId="6BC22B73" w:rsidR="003D2437" w:rsidRDefault="003D2437" w:rsidP="003D2437">
      <w:pPr>
        <w:jc w:val="center"/>
      </w:pPr>
    </w:p>
    <w:p w14:paraId="1309D716" w14:textId="7B8D27A7" w:rsidR="003D2437" w:rsidRDefault="003D2437" w:rsidP="003D2437">
      <w:pPr>
        <w:jc w:val="center"/>
      </w:pPr>
    </w:p>
    <w:p w14:paraId="71372880" w14:textId="6C19B9FF" w:rsidR="003D2437" w:rsidRDefault="003D2437" w:rsidP="003D2437">
      <w:pPr>
        <w:jc w:val="center"/>
      </w:pPr>
    </w:p>
    <w:p w14:paraId="32016373" w14:textId="7A50F755" w:rsidR="003D2437" w:rsidRDefault="003D2437" w:rsidP="003D2437">
      <w:pPr>
        <w:jc w:val="center"/>
      </w:pPr>
    </w:p>
    <w:p w14:paraId="0F2D7FCD" w14:textId="5F8CA221" w:rsidR="003D2437" w:rsidRDefault="003D2437" w:rsidP="003D2437">
      <w:pPr>
        <w:jc w:val="center"/>
      </w:pPr>
    </w:p>
    <w:p w14:paraId="3134B0D8" w14:textId="4D7114AD" w:rsidR="003D2437" w:rsidRDefault="003D2437" w:rsidP="003D2437">
      <w:pPr>
        <w:jc w:val="center"/>
      </w:pPr>
    </w:p>
    <w:p w14:paraId="06331242" w14:textId="7050268B" w:rsidR="003D2437" w:rsidRDefault="003D2437" w:rsidP="003D2437">
      <w:pPr>
        <w:jc w:val="center"/>
      </w:pPr>
    </w:p>
    <w:p w14:paraId="4DE3A805" w14:textId="31B195AB" w:rsidR="003D2437" w:rsidRDefault="003D2437" w:rsidP="003D2437">
      <w:pPr>
        <w:jc w:val="center"/>
      </w:pPr>
    </w:p>
    <w:p w14:paraId="04C79066" w14:textId="7ED04C76" w:rsidR="003D2437" w:rsidRDefault="003D2437" w:rsidP="003D2437">
      <w:pPr>
        <w:jc w:val="center"/>
        <w:rPr>
          <w:b/>
          <w:sz w:val="36"/>
          <w:szCs w:val="36"/>
        </w:rPr>
      </w:pPr>
      <w:r w:rsidRPr="009869F7">
        <w:rPr>
          <w:b/>
          <w:sz w:val="36"/>
          <w:szCs w:val="36"/>
        </w:rPr>
        <w:t xml:space="preserve">Appendix </w:t>
      </w:r>
      <w:r w:rsidR="001A331C">
        <w:rPr>
          <w:b/>
          <w:sz w:val="36"/>
          <w:szCs w:val="36"/>
        </w:rPr>
        <w:t>F</w:t>
      </w:r>
    </w:p>
    <w:p w14:paraId="09B3F1F0" w14:textId="3F2CDAF3" w:rsidR="001B1FF0" w:rsidRPr="009869F7" w:rsidRDefault="001B1FF0" w:rsidP="003D2437">
      <w:pPr>
        <w:jc w:val="center"/>
        <w:rPr>
          <w:b/>
          <w:sz w:val="36"/>
          <w:szCs w:val="36"/>
        </w:rPr>
      </w:pPr>
      <w:r>
        <w:rPr>
          <w:b/>
          <w:sz w:val="36"/>
          <w:szCs w:val="36"/>
        </w:rPr>
        <w:t>NPPD Groundwater Recharge</w:t>
      </w:r>
    </w:p>
    <w:p w14:paraId="30279190" w14:textId="36D880AF" w:rsidR="003D2437" w:rsidRDefault="003D2437" w:rsidP="003D2437">
      <w:pPr>
        <w:jc w:val="center"/>
      </w:pPr>
    </w:p>
    <w:p w14:paraId="2ACD7C56" w14:textId="4ABCBEED" w:rsidR="001B1FF0" w:rsidRDefault="001B1FF0" w:rsidP="003D2437">
      <w:pPr>
        <w:jc w:val="center"/>
      </w:pPr>
      <w:r>
        <w:t>Water Service Agreement Between NPPD and Program (January 1, 2017)</w:t>
      </w:r>
    </w:p>
    <w:p w14:paraId="45F556AD" w14:textId="700AF6BF" w:rsidR="001B1FF0" w:rsidRDefault="001B1FF0" w:rsidP="003D2437">
      <w:pPr>
        <w:jc w:val="center"/>
      </w:pPr>
    </w:p>
    <w:p w14:paraId="6FA8FDA9" w14:textId="4B6E509F" w:rsidR="001B1FF0" w:rsidRDefault="001B1FF0" w:rsidP="003D2437">
      <w:pPr>
        <w:jc w:val="center"/>
      </w:pPr>
      <w:r>
        <w:t>VAR-6257 Order for Gothenburg Canal (July 11, 2017)</w:t>
      </w:r>
    </w:p>
    <w:p w14:paraId="6217CA30" w14:textId="45B478E4" w:rsidR="001B1FF0" w:rsidRDefault="001B1FF0" w:rsidP="003D2437">
      <w:pPr>
        <w:jc w:val="center"/>
      </w:pPr>
    </w:p>
    <w:p w14:paraId="378E9A6C" w14:textId="5C4283C0" w:rsidR="001B1FF0" w:rsidRDefault="001B1FF0" w:rsidP="003D2437">
      <w:pPr>
        <w:jc w:val="center"/>
      </w:pPr>
      <w:r>
        <w:t>VAR-6258 Order for Dawson County Canal (July 11, 2017)</w:t>
      </w:r>
    </w:p>
    <w:p w14:paraId="7EC551DC" w14:textId="72E26173" w:rsidR="001B1FF0" w:rsidRDefault="001B1FF0" w:rsidP="003D2437">
      <w:pPr>
        <w:jc w:val="center"/>
      </w:pPr>
    </w:p>
    <w:p w14:paraId="71C174C8" w14:textId="47ACA00D" w:rsidR="001B1FF0" w:rsidRDefault="001B1FF0" w:rsidP="003D2437">
      <w:pPr>
        <w:jc w:val="center"/>
      </w:pPr>
      <w:r>
        <w:t>A-19552 Application Approval for Gothenburg Canal (August 9, 2017)</w:t>
      </w:r>
    </w:p>
    <w:p w14:paraId="4484E824" w14:textId="39CA899E" w:rsidR="001B1FF0" w:rsidRDefault="001B1FF0" w:rsidP="003D2437">
      <w:pPr>
        <w:jc w:val="center"/>
      </w:pPr>
    </w:p>
    <w:p w14:paraId="2A0E3264" w14:textId="0E463522" w:rsidR="001B1FF0" w:rsidRDefault="001B1FF0" w:rsidP="003D2437">
      <w:pPr>
        <w:jc w:val="center"/>
      </w:pPr>
      <w:r>
        <w:t>A-19553 Application Approval for Dawson County Canal (August 9, 2017)</w:t>
      </w:r>
    </w:p>
    <w:p w14:paraId="367124CE" w14:textId="2D9DC94E" w:rsidR="001B1FF0" w:rsidRDefault="001B1FF0" w:rsidP="003D2437">
      <w:pPr>
        <w:jc w:val="center"/>
      </w:pPr>
    </w:p>
    <w:p w14:paraId="19408058" w14:textId="145C8AF2" w:rsidR="001B1FF0" w:rsidRDefault="001B1FF0" w:rsidP="003D2437">
      <w:pPr>
        <w:jc w:val="center"/>
      </w:pPr>
      <w:r>
        <w:t>VAR-6975 Order for Gothenburg Canal (July 31, 2018)</w:t>
      </w:r>
    </w:p>
    <w:p w14:paraId="3D4B25AE" w14:textId="06F14DCB" w:rsidR="001B1FF0" w:rsidRDefault="001B1FF0" w:rsidP="003D2437">
      <w:pPr>
        <w:jc w:val="center"/>
      </w:pPr>
    </w:p>
    <w:p w14:paraId="72422675" w14:textId="31238E4B" w:rsidR="001B1FF0" w:rsidRDefault="001B1FF0" w:rsidP="003D2437">
      <w:pPr>
        <w:jc w:val="center"/>
      </w:pPr>
      <w:r>
        <w:t>VAR-6976 Order for Dawson County Canal (July 31, 2018)</w:t>
      </w:r>
    </w:p>
    <w:p w14:paraId="3C16B002" w14:textId="4D6B119F" w:rsidR="001B1FF0" w:rsidRDefault="001B1FF0" w:rsidP="003D2437">
      <w:pPr>
        <w:jc w:val="center"/>
      </w:pPr>
    </w:p>
    <w:p w14:paraId="1F8FD2E3" w14:textId="04312F46" w:rsidR="001B1FF0" w:rsidRDefault="001B1FF0" w:rsidP="003D2437">
      <w:pPr>
        <w:jc w:val="center"/>
      </w:pPr>
      <w:r>
        <w:t>A-19607 Application Approval for Gothenburg Canal (August 16, 2018)</w:t>
      </w:r>
    </w:p>
    <w:p w14:paraId="6DEF41BB" w14:textId="0EB990B5" w:rsidR="001B1FF0" w:rsidRDefault="001B1FF0" w:rsidP="003D2437">
      <w:pPr>
        <w:jc w:val="center"/>
      </w:pPr>
    </w:p>
    <w:p w14:paraId="7FF12746" w14:textId="2D76CF14" w:rsidR="001B1FF0" w:rsidRDefault="001B1FF0" w:rsidP="003D2437">
      <w:pPr>
        <w:jc w:val="center"/>
      </w:pPr>
      <w:r>
        <w:t>A-19608 Application Approval for Dawson County Canal (August 16, 2018)</w:t>
      </w:r>
    </w:p>
    <w:p w14:paraId="41F2FD7E" w14:textId="21F3B2B3" w:rsidR="001B1FF0" w:rsidRDefault="001B1FF0" w:rsidP="003D2437">
      <w:pPr>
        <w:jc w:val="center"/>
      </w:pPr>
    </w:p>
    <w:p w14:paraId="1D1B5465" w14:textId="58A06C07" w:rsidR="001B1FF0" w:rsidRDefault="001B1FF0" w:rsidP="003D2437">
      <w:pPr>
        <w:jc w:val="center"/>
      </w:pPr>
      <w:r>
        <w:t>NPPD Invoice for Net Recharge (December 19, 2018)</w:t>
      </w:r>
    </w:p>
    <w:p w14:paraId="44EFD0E5" w14:textId="3F2DB9D5" w:rsidR="003D2437" w:rsidRDefault="003D2437" w:rsidP="003D2437">
      <w:pPr>
        <w:jc w:val="center"/>
      </w:pPr>
    </w:p>
    <w:p w14:paraId="583EF5A5" w14:textId="0262AFE9" w:rsidR="003D2437" w:rsidRDefault="003D2437">
      <w:r>
        <w:br w:type="page"/>
      </w:r>
    </w:p>
    <w:p w14:paraId="1F031F84" w14:textId="55DCC254" w:rsidR="003D2437" w:rsidRDefault="003D2437" w:rsidP="003D2437">
      <w:pPr>
        <w:jc w:val="center"/>
      </w:pPr>
    </w:p>
    <w:p w14:paraId="1117E3EA" w14:textId="5C8F41DA" w:rsidR="003D2437" w:rsidRDefault="003D2437" w:rsidP="003D2437">
      <w:pPr>
        <w:jc w:val="center"/>
      </w:pPr>
    </w:p>
    <w:p w14:paraId="7EDE2AB9" w14:textId="2C19F5F1" w:rsidR="003D2437" w:rsidRDefault="003D2437" w:rsidP="003D2437">
      <w:pPr>
        <w:jc w:val="center"/>
      </w:pPr>
    </w:p>
    <w:p w14:paraId="7AFCE667" w14:textId="5320050A" w:rsidR="003D2437" w:rsidRDefault="003D2437" w:rsidP="003D2437">
      <w:pPr>
        <w:jc w:val="center"/>
      </w:pPr>
    </w:p>
    <w:p w14:paraId="0E6E21C9" w14:textId="3212C4A2" w:rsidR="003D2437" w:rsidRDefault="003D2437" w:rsidP="003D2437">
      <w:pPr>
        <w:jc w:val="center"/>
      </w:pPr>
    </w:p>
    <w:p w14:paraId="150E3F90" w14:textId="5EA94071" w:rsidR="003D2437" w:rsidRDefault="003D2437" w:rsidP="003D2437">
      <w:pPr>
        <w:jc w:val="center"/>
      </w:pPr>
    </w:p>
    <w:p w14:paraId="1E1A13AF" w14:textId="6971D1E0" w:rsidR="003D2437" w:rsidRDefault="003D2437" w:rsidP="003D2437">
      <w:pPr>
        <w:jc w:val="center"/>
      </w:pPr>
    </w:p>
    <w:p w14:paraId="4E8D6C25" w14:textId="227AA541" w:rsidR="003D2437" w:rsidRDefault="003D2437" w:rsidP="003D2437">
      <w:pPr>
        <w:jc w:val="center"/>
      </w:pPr>
    </w:p>
    <w:p w14:paraId="562271F9" w14:textId="027B429D" w:rsidR="003D2437" w:rsidRDefault="003D2437" w:rsidP="003D2437">
      <w:pPr>
        <w:jc w:val="center"/>
      </w:pPr>
    </w:p>
    <w:p w14:paraId="4DB73CC1" w14:textId="09A2890B" w:rsidR="003D2437" w:rsidRDefault="003D2437" w:rsidP="003D2437">
      <w:pPr>
        <w:jc w:val="center"/>
      </w:pPr>
    </w:p>
    <w:p w14:paraId="3B7015B5" w14:textId="18125231" w:rsidR="003D2437" w:rsidRDefault="003D2437" w:rsidP="003D2437">
      <w:pPr>
        <w:jc w:val="center"/>
        <w:rPr>
          <w:b/>
          <w:sz w:val="36"/>
          <w:szCs w:val="36"/>
        </w:rPr>
      </w:pPr>
      <w:r w:rsidRPr="009869F7">
        <w:rPr>
          <w:b/>
          <w:sz w:val="36"/>
          <w:szCs w:val="36"/>
        </w:rPr>
        <w:t xml:space="preserve">Appendix </w:t>
      </w:r>
      <w:r w:rsidR="001A331C">
        <w:rPr>
          <w:b/>
          <w:sz w:val="36"/>
          <w:szCs w:val="36"/>
        </w:rPr>
        <w:t>G</w:t>
      </w:r>
    </w:p>
    <w:p w14:paraId="58253188" w14:textId="5CE73D14" w:rsidR="001D1A3E" w:rsidRPr="009869F7" w:rsidRDefault="001D1A3E" w:rsidP="003D2437">
      <w:pPr>
        <w:jc w:val="center"/>
        <w:rPr>
          <w:b/>
          <w:sz w:val="36"/>
          <w:szCs w:val="36"/>
        </w:rPr>
      </w:pPr>
      <w:r>
        <w:rPr>
          <w:b/>
          <w:sz w:val="36"/>
          <w:szCs w:val="36"/>
        </w:rPr>
        <w:t>Lake McConaughy Environmental Account</w:t>
      </w:r>
    </w:p>
    <w:p w14:paraId="3E233363" w14:textId="2E1F1896" w:rsidR="003D2437" w:rsidRDefault="003D2437" w:rsidP="003D2437">
      <w:pPr>
        <w:jc w:val="center"/>
      </w:pPr>
    </w:p>
    <w:p w14:paraId="79FEF0AE" w14:textId="01F03E8A" w:rsidR="001D1A3E" w:rsidRDefault="001D1A3E" w:rsidP="003D2437">
      <w:pPr>
        <w:jc w:val="center"/>
      </w:pPr>
      <w:r>
        <w:t>A-1</w:t>
      </w:r>
      <w:r w:rsidR="00424F4B">
        <w:t>7695 Application Submittal (August 28, 1998)</w:t>
      </w:r>
    </w:p>
    <w:p w14:paraId="789BEFD9" w14:textId="114D4F20" w:rsidR="00424F4B" w:rsidRDefault="00424F4B" w:rsidP="003D2437">
      <w:pPr>
        <w:jc w:val="center"/>
      </w:pPr>
    </w:p>
    <w:p w14:paraId="5DE12968" w14:textId="132BA008" w:rsidR="00424F4B" w:rsidRDefault="00424F4B" w:rsidP="003D2437">
      <w:pPr>
        <w:jc w:val="center"/>
      </w:pPr>
      <w:r>
        <w:t>A-17695 Application Approval (May 19, 1999)</w:t>
      </w:r>
    </w:p>
    <w:p w14:paraId="0BA6FBD2" w14:textId="20176183" w:rsidR="00424F4B" w:rsidRDefault="00424F4B" w:rsidP="003D2437">
      <w:pPr>
        <w:jc w:val="center"/>
      </w:pPr>
    </w:p>
    <w:p w14:paraId="3C04973C" w14:textId="58C63F60" w:rsidR="00424F4B" w:rsidRDefault="00424F4B" w:rsidP="003D2437">
      <w:pPr>
        <w:jc w:val="center"/>
      </w:pPr>
      <w:r>
        <w:t>EOT-1719 Order (August 26, 2010)</w:t>
      </w:r>
    </w:p>
    <w:p w14:paraId="487A25DC" w14:textId="110B368D" w:rsidR="00B17ECF" w:rsidRDefault="00B17ECF" w:rsidP="003D2437">
      <w:pPr>
        <w:jc w:val="center"/>
      </w:pPr>
    </w:p>
    <w:p w14:paraId="08AFD083" w14:textId="1B89B8E1" w:rsidR="00B17ECF" w:rsidRDefault="00B17ECF" w:rsidP="00B17ECF">
      <w:pPr>
        <w:jc w:val="center"/>
      </w:pPr>
      <w:r>
        <w:t>USFWS Final 2018 AOP for Lake McConaughy EA (February 8, 2018)</w:t>
      </w:r>
    </w:p>
    <w:p w14:paraId="76387997" w14:textId="77777777" w:rsidR="00B17ECF" w:rsidRDefault="00B17ECF" w:rsidP="003D2437">
      <w:pPr>
        <w:jc w:val="center"/>
      </w:pPr>
    </w:p>
    <w:p w14:paraId="62D4B623" w14:textId="155C4312" w:rsidR="003D2437" w:rsidRDefault="003D2437" w:rsidP="003D2437">
      <w:pPr>
        <w:jc w:val="center"/>
      </w:pPr>
    </w:p>
    <w:p w14:paraId="0F85C1AA" w14:textId="19634C1C" w:rsidR="003D2437" w:rsidRDefault="003D2437">
      <w:r>
        <w:br w:type="page"/>
      </w:r>
    </w:p>
    <w:p w14:paraId="116B8E3D" w14:textId="663C793F" w:rsidR="003D2437" w:rsidRDefault="003D2437" w:rsidP="003D2437">
      <w:pPr>
        <w:jc w:val="center"/>
      </w:pPr>
    </w:p>
    <w:p w14:paraId="390463D8" w14:textId="787715E7" w:rsidR="003D2437" w:rsidRDefault="003D2437" w:rsidP="003D2437">
      <w:pPr>
        <w:jc w:val="center"/>
      </w:pPr>
    </w:p>
    <w:p w14:paraId="0B904737" w14:textId="3908CC0B" w:rsidR="003D2437" w:rsidRDefault="003D2437" w:rsidP="003D2437">
      <w:pPr>
        <w:jc w:val="center"/>
      </w:pPr>
    </w:p>
    <w:p w14:paraId="21888B47" w14:textId="0E53EF00" w:rsidR="003D2437" w:rsidRDefault="003D2437" w:rsidP="003D2437">
      <w:pPr>
        <w:jc w:val="center"/>
      </w:pPr>
    </w:p>
    <w:p w14:paraId="45047C10" w14:textId="581839F8" w:rsidR="003D2437" w:rsidRDefault="003D2437" w:rsidP="003D2437">
      <w:pPr>
        <w:jc w:val="center"/>
      </w:pPr>
    </w:p>
    <w:p w14:paraId="3474B5DD" w14:textId="7C719FCC" w:rsidR="003D2437" w:rsidRDefault="003D2437" w:rsidP="003D2437">
      <w:pPr>
        <w:jc w:val="center"/>
      </w:pPr>
    </w:p>
    <w:p w14:paraId="2E0C3E03" w14:textId="26B3B7F5" w:rsidR="003D2437" w:rsidRDefault="003D2437" w:rsidP="003D2437">
      <w:pPr>
        <w:jc w:val="center"/>
      </w:pPr>
    </w:p>
    <w:p w14:paraId="57A4F4B0" w14:textId="6E4BF71A" w:rsidR="003D2437" w:rsidRDefault="003D2437" w:rsidP="003D2437">
      <w:pPr>
        <w:jc w:val="center"/>
      </w:pPr>
    </w:p>
    <w:p w14:paraId="73538140" w14:textId="65926829" w:rsidR="003D2437" w:rsidRDefault="003D2437" w:rsidP="003D2437">
      <w:pPr>
        <w:jc w:val="center"/>
      </w:pPr>
    </w:p>
    <w:p w14:paraId="3CB2ED19" w14:textId="373EA9C1" w:rsidR="003D2437" w:rsidRDefault="003D2437" w:rsidP="003D2437">
      <w:pPr>
        <w:jc w:val="center"/>
      </w:pPr>
    </w:p>
    <w:p w14:paraId="7A032A80" w14:textId="11E7D714" w:rsidR="003D2437" w:rsidRDefault="003D2437" w:rsidP="003D2437">
      <w:pPr>
        <w:jc w:val="center"/>
        <w:rPr>
          <w:b/>
          <w:sz w:val="36"/>
          <w:szCs w:val="36"/>
        </w:rPr>
      </w:pPr>
      <w:r w:rsidRPr="009869F7">
        <w:rPr>
          <w:b/>
          <w:sz w:val="36"/>
          <w:szCs w:val="36"/>
        </w:rPr>
        <w:t xml:space="preserve">Appendix </w:t>
      </w:r>
      <w:r w:rsidR="001A331C">
        <w:rPr>
          <w:b/>
          <w:sz w:val="36"/>
          <w:szCs w:val="36"/>
        </w:rPr>
        <w:t>H</w:t>
      </w:r>
    </w:p>
    <w:p w14:paraId="72BA5DA6" w14:textId="1F91284F" w:rsidR="00454BB0" w:rsidRPr="009869F7" w:rsidRDefault="00454BB0" w:rsidP="003D2437">
      <w:pPr>
        <w:jc w:val="center"/>
        <w:rPr>
          <w:b/>
          <w:sz w:val="36"/>
          <w:szCs w:val="36"/>
        </w:rPr>
      </w:pPr>
      <w:r>
        <w:rPr>
          <w:b/>
          <w:sz w:val="36"/>
          <w:szCs w:val="36"/>
        </w:rPr>
        <w:t>Pathfinder Municipal Account Lease</w:t>
      </w:r>
    </w:p>
    <w:p w14:paraId="7DB7EA1C" w14:textId="1EC42D00" w:rsidR="003D2437" w:rsidRDefault="003D2437" w:rsidP="003D2437">
      <w:pPr>
        <w:jc w:val="center"/>
      </w:pPr>
    </w:p>
    <w:p w14:paraId="66FF2BB8" w14:textId="242B9305" w:rsidR="00454BB0" w:rsidRDefault="00454BB0" w:rsidP="003D2437">
      <w:pPr>
        <w:jc w:val="center"/>
      </w:pPr>
      <w:r>
        <w:t>Agreement Between WWDO and Program (July 2011)</w:t>
      </w:r>
    </w:p>
    <w:p w14:paraId="36B3EDB3" w14:textId="2FB2BF6D" w:rsidR="00454BB0" w:rsidRDefault="00454BB0" w:rsidP="003D2437">
      <w:pPr>
        <w:jc w:val="center"/>
      </w:pPr>
    </w:p>
    <w:p w14:paraId="77667270" w14:textId="4EABB463" w:rsidR="00454BB0" w:rsidRDefault="00454BB0" w:rsidP="003D2437">
      <w:pPr>
        <w:jc w:val="center"/>
      </w:pPr>
      <w:r>
        <w:t>WWDO Pathfinder Lease Letter (April 9, 2018)</w:t>
      </w:r>
    </w:p>
    <w:p w14:paraId="2C341381" w14:textId="64DD1806" w:rsidR="00454BB0" w:rsidRDefault="00454BB0" w:rsidP="003D2437">
      <w:pPr>
        <w:jc w:val="center"/>
      </w:pPr>
    </w:p>
    <w:p w14:paraId="10EF880E" w14:textId="1D0720CA" w:rsidR="00454BB0" w:rsidRDefault="00454BB0" w:rsidP="003D2437">
      <w:pPr>
        <w:jc w:val="center"/>
      </w:pPr>
      <w:r>
        <w:t>WWDO Revised Pathfinder Lease Letter and Invoice (July 2, 2018)</w:t>
      </w:r>
    </w:p>
    <w:p w14:paraId="103CE0A5" w14:textId="0A82C6E7" w:rsidR="003D2437" w:rsidRDefault="003D2437" w:rsidP="003D2437">
      <w:pPr>
        <w:jc w:val="center"/>
      </w:pPr>
    </w:p>
    <w:p w14:paraId="56153ECB" w14:textId="0816D867" w:rsidR="003D2437" w:rsidRDefault="003D2437">
      <w:r>
        <w:br w:type="page"/>
      </w:r>
    </w:p>
    <w:p w14:paraId="6F78950C" w14:textId="2209BA56" w:rsidR="003D2437" w:rsidRDefault="003D2437" w:rsidP="003D2437">
      <w:pPr>
        <w:jc w:val="center"/>
      </w:pPr>
    </w:p>
    <w:p w14:paraId="6A3E27BE" w14:textId="6D878E32" w:rsidR="003D2437" w:rsidRDefault="003D2437" w:rsidP="003D2437">
      <w:pPr>
        <w:jc w:val="center"/>
      </w:pPr>
    </w:p>
    <w:p w14:paraId="0466FCC5" w14:textId="7DFBB48E" w:rsidR="003D2437" w:rsidRDefault="003D2437" w:rsidP="003D2437">
      <w:pPr>
        <w:jc w:val="center"/>
      </w:pPr>
    </w:p>
    <w:p w14:paraId="3C4AA51F" w14:textId="16AD61B8" w:rsidR="003D2437" w:rsidRDefault="003D2437" w:rsidP="003D2437">
      <w:pPr>
        <w:jc w:val="center"/>
      </w:pPr>
    </w:p>
    <w:p w14:paraId="148A7FF3" w14:textId="205B5848" w:rsidR="003D2437" w:rsidRDefault="003D2437" w:rsidP="003D2437">
      <w:pPr>
        <w:jc w:val="center"/>
      </w:pPr>
    </w:p>
    <w:p w14:paraId="6B56952D" w14:textId="73A5C313" w:rsidR="003D2437" w:rsidRDefault="003D2437" w:rsidP="003D2437">
      <w:pPr>
        <w:jc w:val="center"/>
      </w:pPr>
    </w:p>
    <w:p w14:paraId="3939A71D" w14:textId="73CCDD12" w:rsidR="003D2437" w:rsidRDefault="003D2437" w:rsidP="003D2437">
      <w:pPr>
        <w:jc w:val="center"/>
      </w:pPr>
    </w:p>
    <w:p w14:paraId="1549FE11" w14:textId="52A495D6" w:rsidR="003D2437" w:rsidRDefault="003D2437" w:rsidP="003D2437">
      <w:pPr>
        <w:jc w:val="center"/>
      </w:pPr>
    </w:p>
    <w:p w14:paraId="0F150D69" w14:textId="35B02061" w:rsidR="003D2437" w:rsidRDefault="003D2437" w:rsidP="003D2437">
      <w:pPr>
        <w:jc w:val="center"/>
      </w:pPr>
    </w:p>
    <w:p w14:paraId="40D6FBA9" w14:textId="128154BE" w:rsidR="003D2437" w:rsidRDefault="003D2437" w:rsidP="003D2437">
      <w:pPr>
        <w:jc w:val="center"/>
      </w:pPr>
    </w:p>
    <w:p w14:paraId="069CC868" w14:textId="0632D35D" w:rsidR="003D2437" w:rsidRDefault="003D2437" w:rsidP="003D2437">
      <w:pPr>
        <w:jc w:val="center"/>
        <w:rPr>
          <w:b/>
          <w:sz w:val="36"/>
          <w:szCs w:val="36"/>
        </w:rPr>
      </w:pPr>
      <w:r w:rsidRPr="009869F7">
        <w:rPr>
          <w:b/>
          <w:sz w:val="36"/>
          <w:szCs w:val="36"/>
        </w:rPr>
        <w:t xml:space="preserve">Appendix </w:t>
      </w:r>
      <w:r w:rsidR="001A331C">
        <w:rPr>
          <w:b/>
          <w:sz w:val="36"/>
          <w:szCs w:val="36"/>
        </w:rPr>
        <w:t>I</w:t>
      </w:r>
    </w:p>
    <w:p w14:paraId="04123548" w14:textId="7104C852" w:rsidR="00027866" w:rsidRPr="009869F7" w:rsidRDefault="00027866" w:rsidP="003D2437">
      <w:pPr>
        <w:jc w:val="center"/>
        <w:rPr>
          <w:b/>
          <w:sz w:val="36"/>
          <w:szCs w:val="36"/>
        </w:rPr>
      </w:pPr>
      <w:r>
        <w:rPr>
          <w:b/>
          <w:sz w:val="36"/>
          <w:szCs w:val="36"/>
        </w:rPr>
        <w:t>No-Cost Net Controllable Conserved Water</w:t>
      </w:r>
    </w:p>
    <w:p w14:paraId="33C47BF4" w14:textId="5F85EDB8" w:rsidR="003D2437" w:rsidRDefault="003D2437" w:rsidP="003D2437">
      <w:pPr>
        <w:jc w:val="center"/>
      </w:pPr>
    </w:p>
    <w:p w14:paraId="2FFD9678" w14:textId="39625459" w:rsidR="00027866" w:rsidRDefault="00027866" w:rsidP="003D2437">
      <w:pPr>
        <w:jc w:val="center"/>
      </w:pPr>
      <w:r>
        <w:t>No-Cost NCCW Confirmation Letter from Nebraska DNR (October 29, 2018)</w:t>
      </w:r>
    </w:p>
    <w:p w14:paraId="4A91D8FA" w14:textId="583DC882" w:rsidR="003D2437" w:rsidRDefault="003D2437" w:rsidP="003D2437">
      <w:pPr>
        <w:jc w:val="center"/>
      </w:pPr>
    </w:p>
    <w:p w14:paraId="55420D53" w14:textId="62060AC8" w:rsidR="003D2437" w:rsidRDefault="003D2437">
      <w:r>
        <w:br w:type="page"/>
      </w:r>
    </w:p>
    <w:p w14:paraId="1CD88E7F" w14:textId="3ADF70EF" w:rsidR="003D2437" w:rsidRDefault="003D2437" w:rsidP="003D2437">
      <w:pPr>
        <w:jc w:val="center"/>
      </w:pPr>
    </w:p>
    <w:p w14:paraId="28FC4FA7" w14:textId="72887070" w:rsidR="003D2437" w:rsidRDefault="003D2437" w:rsidP="003D2437">
      <w:pPr>
        <w:jc w:val="center"/>
      </w:pPr>
    </w:p>
    <w:p w14:paraId="774E706B" w14:textId="173BC344" w:rsidR="003D2437" w:rsidRDefault="003D2437" w:rsidP="003D2437">
      <w:pPr>
        <w:jc w:val="center"/>
      </w:pPr>
    </w:p>
    <w:p w14:paraId="6ABECE0F" w14:textId="34F404CB" w:rsidR="003D2437" w:rsidRDefault="003D2437" w:rsidP="003D2437">
      <w:pPr>
        <w:jc w:val="center"/>
      </w:pPr>
    </w:p>
    <w:p w14:paraId="1068B671" w14:textId="1C2BC699" w:rsidR="003D2437" w:rsidRDefault="003D2437" w:rsidP="003D2437">
      <w:pPr>
        <w:jc w:val="center"/>
      </w:pPr>
    </w:p>
    <w:p w14:paraId="566EA23D" w14:textId="6D52E303" w:rsidR="003D2437" w:rsidRDefault="003D2437" w:rsidP="003D2437">
      <w:pPr>
        <w:jc w:val="center"/>
      </w:pPr>
    </w:p>
    <w:p w14:paraId="1FDBD6AA" w14:textId="4FC6F2E0" w:rsidR="003D2437" w:rsidRDefault="003D2437" w:rsidP="003D2437">
      <w:pPr>
        <w:jc w:val="center"/>
      </w:pPr>
    </w:p>
    <w:p w14:paraId="1E606148" w14:textId="7280BBD4" w:rsidR="003D2437" w:rsidRDefault="003D2437" w:rsidP="003D2437">
      <w:pPr>
        <w:jc w:val="center"/>
      </w:pPr>
    </w:p>
    <w:p w14:paraId="4FB2A874" w14:textId="13F54E79" w:rsidR="003D2437" w:rsidRDefault="003D2437" w:rsidP="003D2437">
      <w:pPr>
        <w:jc w:val="center"/>
      </w:pPr>
    </w:p>
    <w:p w14:paraId="44D033C0" w14:textId="025E24A5" w:rsidR="003D2437" w:rsidRDefault="003D2437" w:rsidP="003D2437">
      <w:pPr>
        <w:jc w:val="center"/>
      </w:pPr>
    </w:p>
    <w:p w14:paraId="70B083E3" w14:textId="66E359FE" w:rsidR="003D2437" w:rsidRDefault="003D2437" w:rsidP="003D2437">
      <w:pPr>
        <w:jc w:val="center"/>
        <w:rPr>
          <w:b/>
          <w:sz w:val="36"/>
          <w:szCs w:val="36"/>
        </w:rPr>
      </w:pPr>
      <w:r w:rsidRPr="009869F7">
        <w:rPr>
          <w:b/>
          <w:sz w:val="36"/>
          <w:szCs w:val="36"/>
        </w:rPr>
        <w:t xml:space="preserve">Appendix </w:t>
      </w:r>
      <w:r w:rsidR="001A331C">
        <w:rPr>
          <w:b/>
          <w:sz w:val="36"/>
          <w:szCs w:val="36"/>
        </w:rPr>
        <w:t>J</w:t>
      </w:r>
    </w:p>
    <w:p w14:paraId="70B67074" w14:textId="15033695" w:rsidR="00C47809" w:rsidRPr="009869F7" w:rsidRDefault="00C47809" w:rsidP="003D2437">
      <w:pPr>
        <w:jc w:val="center"/>
        <w:rPr>
          <w:b/>
          <w:sz w:val="36"/>
          <w:szCs w:val="36"/>
        </w:rPr>
      </w:pPr>
      <w:r>
        <w:rPr>
          <w:b/>
          <w:sz w:val="36"/>
          <w:szCs w:val="36"/>
        </w:rPr>
        <w:t>CNPPID Irrigator Lease</w:t>
      </w:r>
    </w:p>
    <w:p w14:paraId="703B5132" w14:textId="3751AB26" w:rsidR="003D2437" w:rsidRDefault="003D2437" w:rsidP="003D2437">
      <w:pPr>
        <w:jc w:val="center"/>
      </w:pPr>
    </w:p>
    <w:p w14:paraId="531FB369" w14:textId="7B1F4095" w:rsidR="00C47809" w:rsidRDefault="00C47809" w:rsidP="003D2437">
      <w:pPr>
        <w:jc w:val="center"/>
      </w:pPr>
      <w:r>
        <w:t>Water Leasing Agreement Between CNPPID and Program (October 20, 2017)</w:t>
      </w:r>
    </w:p>
    <w:p w14:paraId="78FD8FD5" w14:textId="3283DA63" w:rsidR="00C47809" w:rsidRDefault="00C47809" w:rsidP="003D2437">
      <w:pPr>
        <w:jc w:val="center"/>
      </w:pPr>
    </w:p>
    <w:p w14:paraId="075DD31F" w14:textId="4DA4DC65" w:rsidR="00C47809" w:rsidRDefault="00C47809" w:rsidP="003D2437">
      <w:pPr>
        <w:jc w:val="center"/>
      </w:pPr>
      <w:r>
        <w:t>Amendment No. 1 to Water Service Agreement (January 8, 2018)</w:t>
      </w:r>
    </w:p>
    <w:p w14:paraId="48A7F8DD" w14:textId="6F031EE2" w:rsidR="00C47809" w:rsidRDefault="00C47809" w:rsidP="003D2437">
      <w:pPr>
        <w:jc w:val="center"/>
      </w:pPr>
    </w:p>
    <w:p w14:paraId="65C4B3D1" w14:textId="22AB2CCC" w:rsidR="00C47809" w:rsidRDefault="00C47809" w:rsidP="003D2437">
      <w:pPr>
        <w:jc w:val="center"/>
      </w:pPr>
      <w:r>
        <w:t>CNPPID Invoice for Irrigator Lease (September 4, 2018)</w:t>
      </w:r>
    </w:p>
    <w:p w14:paraId="1BE25645" w14:textId="55144578" w:rsidR="00C47809" w:rsidRDefault="00C47809" w:rsidP="003D2437">
      <w:pPr>
        <w:jc w:val="center"/>
      </w:pPr>
    </w:p>
    <w:p w14:paraId="05B9F379" w14:textId="33DCAE56" w:rsidR="00C47809" w:rsidRDefault="00C47809" w:rsidP="003D2437">
      <w:pPr>
        <w:jc w:val="center"/>
      </w:pPr>
      <w:r>
        <w:t>Irrigator Lease Confirmation Letter from Nebraska DNR (October 29, 2018)</w:t>
      </w:r>
    </w:p>
    <w:p w14:paraId="534196AC" w14:textId="163E28E4" w:rsidR="003D2437" w:rsidRDefault="003D2437" w:rsidP="003D2437">
      <w:pPr>
        <w:jc w:val="center"/>
      </w:pPr>
    </w:p>
    <w:p w14:paraId="69B37596" w14:textId="24B2F5A1" w:rsidR="003D2437" w:rsidRDefault="003D2437">
      <w:r>
        <w:br w:type="page"/>
      </w:r>
    </w:p>
    <w:p w14:paraId="0085D7D1" w14:textId="29B5147D" w:rsidR="003D2437" w:rsidRDefault="003D2437" w:rsidP="003D2437">
      <w:pPr>
        <w:jc w:val="center"/>
      </w:pPr>
    </w:p>
    <w:p w14:paraId="22DFD5A8" w14:textId="00144FA3" w:rsidR="003D2437" w:rsidRDefault="003D2437" w:rsidP="003D2437">
      <w:pPr>
        <w:jc w:val="center"/>
      </w:pPr>
    </w:p>
    <w:p w14:paraId="263FC186" w14:textId="76EFEE55" w:rsidR="003D2437" w:rsidRDefault="003D2437" w:rsidP="003D2437">
      <w:pPr>
        <w:jc w:val="center"/>
      </w:pPr>
    </w:p>
    <w:p w14:paraId="6D972EFF" w14:textId="5BF2D576" w:rsidR="003D2437" w:rsidRDefault="003D2437" w:rsidP="003D2437">
      <w:pPr>
        <w:jc w:val="center"/>
      </w:pPr>
    </w:p>
    <w:p w14:paraId="0DF3EE35" w14:textId="62060EAA" w:rsidR="003D2437" w:rsidRDefault="003D2437" w:rsidP="003D2437">
      <w:pPr>
        <w:jc w:val="center"/>
      </w:pPr>
    </w:p>
    <w:p w14:paraId="1D6D7E6E" w14:textId="0C98004E" w:rsidR="003D2437" w:rsidRDefault="003D2437" w:rsidP="003D2437">
      <w:pPr>
        <w:jc w:val="center"/>
      </w:pPr>
    </w:p>
    <w:p w14:paraId="3E50689C" w14:textId="2DC9EBF5" w:rsidR="003D2437" w:rsidRDefault="003D2437" w:rsidP="003D2437">
      <w:pPr>
        <w:jc w:val="center"/>
      </w:pPr>
    </w:p>
    <w:p w14:paraId="366DF431" w14:textId="333DBBA4" w:rsidR="003D2437" w:rsidRDefault="003D2437" w:rsidP="003D2437">
      <w:pPr>
        <w:jc w:val="center"/>
      </w:pPr>
    </w:p>
    <w:p w14:paraId="62545320" w14:textId="5805D694" w:rsidR="003D2437" w:rsidRDefault="003D2437" w:rsidP="003D2437">
      <w:pPr>
        <w:jc w:val="center"/>
      </w:pPr>
    </w:p>
    <w:p w14:paraId="7305D171" w14:textId="4140C88C" w:rsidR="003D2437" w:rsidRDefault="003D2437" w:rsidP="003D2437">
      <w:pPr>
        <w:jc w:val="center"/>
      </w:pPr>
    </w:p>
    <w:p w14:paraId="6D5A7D4C" w14:textId="3B0062DB" w:rsidR="003D2437" w:rsidRDefault="003D2437" w:rsidP="003D2437">
      <w:pPr>
        <w:jc w:val="center"/>
        <w:rPr>
          <w:b/>
          <w:sz w:val="36"/>
          <w:szCs w:val="36"/>
        </w:rPr>
      </w:pPr>
      <w:r w:rsidRPr="009869F7">
        <w:rPr>
          <w:b/>
          <w:sz w:val="36"/>
          <w:szCs w:val="36"/>
        </w:rPr>
        <w:t xml:space="preserve">Appendix </w:t>
      </w:r>
      <w:r w:rsidR="001A331C">
        <w:rPr>
          <w:b/>
          <w:sz w:val="36"/>
          <w:szCs w:val="36"/>
        </w:rPr>
        <w:t>K</w:t>
      </w:r>
    </w:p>
    <w:p w14:paraId="195A6062" w14:textId="0ACCAFD1" w:rsidR="00516F84" w:rsidRPr="009869F7" w:rsidRDefault="00516F84" w:rsidP="003D2437">
      <w:pPr>
        <w:jc w:val="center"/>
        <w:rPr>
          <w:b/>
          <w:sz w:val="36"/>
          <w:szCs w:val="36"/>
        </w:rPr>
      </w:pPr>
      <w:r>
        <w:rPr>
          <w:b/>
          <w:sz w:val="36"/>
          <w:szCs w:val="36"/>
        </w:rPr>
        <w:t>CPNRD Surface Water Lease</w:t>
      </w:r>
    </w:p>
    <w:p w14:paraId="495A3787" w14:textId="69819B8C" w:rsidR="003D2437" w:rsidRDefault="003D2437" w:rsidP="003D2437">
      <w:pPr>
        <w:jc w:val="center"/>
      </w:pPr>
    </w:p>
    <w:p w14:paraId="2C3933A9" w14:textId="069E83D0" w:rsidR="00516F84" w:rsidRDefault="00516F84" w:rsidP="003D2437">
      <w:pPr>
        <w:jc w:val="center"/>
      </w:pPr>
      <w:r>
        <w:t>Water Use Lease Agreement Between CPNRD and Program (December 4, 2013)</w:t>
      </w:r>
    </w:p>
    <w:p w14:paraId="0A338720" w14:textId="75D391D1" w:rsidR="00516F84" w:rsidRDefault="00516F84" w:rsidP="003D2437">
      <w:pPr>
        <w:jc w:val="center"/>
      </w:pPr>
    </w:p>
    <w:p w14:paraId="508DEBCC" w14:textId="78FFC191" w:rsidR="00516F84" w:rsidRDefault="00516F84" w:rsidP="003D2437">
      <w:pPr>
        <w:jc w:val="center"/>
      </w:pPr>
      <w:r>
        <w:t>Amendment No. 1 to Water Use Lease Agreement (January 1, 2017)</w:t>
      </w:r>
    </w:p>
    <w:p w14:paraId="06B1D7F5" w14:textId="6FB68447" w:rsidR="00B17ECF" w:rsidRDefault="00B17ECF" w:rsidP="003D2437">
      <w:pPr>
        <w:jc w:val="center"/>
      </w:pPr>
    </w:p>
    <w:p w14:paraId="660D8B58" w14:textId="482A4DC7" w:rsidR="00B17ECF" w:rsidRDefault="00B17ECF" w:rsidP="00B17ECF">
      <w:pPr>
        <w:jc w:val="center"/>
      </w:pPr>
      <w:r>
        <w:t>CPNRD Lease Rates for 2018 (October 23, 2017)</w:t>
      </w:r>
    </w:p>
    <w:p w14:paraId="19F6AD87" w14:textId="276BCC8A" w:rsidR="00B17ECF" w:rsidRDefault="00B17ECF" w:rsidP="00B17ECF">
      <w:pPr>
        <w:jc w:val="center"/>
      </w:pPr>
    </w:p>
    <w:p w14:paraId="6D92A252" w14:textId="78D5D30E" w:rsidR="00B17ECF" w:rsidRDefault="00B17ECF" w:rsidP="00B17ECF">
      <w:pPr>
        <w:jc w:val="center"/>
      </w:pPr>
      <w:r>
        <w:t>Memorandum of Understanding Between CNPPID and CPNRD (June 22, 2018)</w:t>
      </w:r>
    </w:p>
    <w:p w14:paraId="3E0EA7DD" w14:textId="534A92CA" w:rsidR="00B17ECF" w:rsidRDefault="00B17ECF" w:rsidP="00B17ECF">
      <w:pPr>
        <w:jc w:val="center"/>
      </w:pPr>
    </w:p>
    <w:p w14:paraId="6EEE307D" w14:textId="3961B325" w:rsidR="00B17ECF" w:rsidRDefault="00B17ECF" w:rsidP="00B17ECF">
      <w:pPr>
        <w:jc w:val="center"/>
      </w:pPr>
      <w:r>
        <w:t>Pilot Exchange Project Letter from CNPPID (October 1, 2018)</w:t>
      </w:r>
    </w:p>
    <w:p w14:paraId="7422587F" w14:textId="64A9F9F8" w:rsidR="00B17ECF" w:rsidRDefault="00B17ECF" w:rsidP="00B17ECF">
      <w:pPr>
        <w:jc w:val="center"/>
      </w:pPr>
    </w:p>
    <w:p w14:paraId="67E7866B" w14:textId="625A0225" w:rsidR="00B17ECF" w:rsidRDefault="00B17ECF" w:rsidP="00B17ECF">
      <w:pPr>
        <w:jc w:val="center"/>
      </w:pPr>
      <w:r>
        <w:t>Amendment No. 2 to Water Use Lease Agreement (October 8, 2018)</w:t>
      </w:r>
    </w:p>
    <w:p w14:paraId="32111DB5" w14:textId="55AD818B" w:rsidR="00B17ECF" w:rsidRDefault="00B17ECF" w:rsidP="00B17ECF">
      <w:pPr>
        <w:jc w:val="center"/>
      </w:pPr>
    </w:p>
    <w:p w14:paraId="7C4F94B3" w14:textId="22A44803" w:rsidR="00B17ECF" w:rsidRDefault="00B17ECF" w:rsidP="00B17ECF">
      <w:pPr>
        <w:jc w:val="center"/>
      </w:pPr>
      <w:r>
        <w:t>Pilot Exchange Project Letter from Nebraska DNR (October 29, 2018)</w:t>
      </w:r>
    </w:p>
    <w:p w14:paraId="30A7AB80" w14:textId="77777777" w:rsidR="00B17ECF" w:rsidRDefault="00B17ECF" w:rsidP="00B17ECF">
      <w:pPr>
        <w:jc w:val="center"/>
      </w:pPr>
    </w:p>
    <w:p w14:paraId="47FD936D" w14:textId="09C8BD78" w:rsidR="00B17ECF" w:rsidRDefault="00B17ECF" w:rsidP="00B17ECF">
      <w:pPr>
        <w:jc w:val="center"/>
      </w:pPr>
      <w:r>
        <w:t>CPNRD Invoice for Surface Water Transfer (December 3, 2018)</w:t>
      </w:r>
    </w:p>
    <w:p w14:paraId="61648CDE" w14:textId="697D0281" w:rsidR="00516F84" w:rsidRDefault="00516F84" w:rsidP="003D2437">
      <w:pPr>
        <w:jc w:val="center"/>
      </w:pPr>
    </w:p>
    <w:p w14:paraId="7BD5F13E" w14:textId="77777777" w:rsidR="00516F84" w:rsidRDefault="00516F84" w:rsidP="003D2437">
      <w:pPr>
        <w:jc w:val="center"/>
      </w:pPr>
    </w:p>
    <w:p w14:paraId="3400F915" w14:textId="3ADFBDE4" w:rsidR="009869F7" w:rsidRPr="00BA2D41" w:rsidRDefault="009869F7" w:rsidP="00B17ECF"/>
    <w:sectPr w:rsidR="009869F7" w:rsidRPr="00BA2D41" w:rsidSect="00F72122">
      <w:footerReference w:type="default" r:id="rId21"/>
      <w:pgSz w:w="12240" w:h="15840" w:code="1"/>
      <w:pgMar w:top="1440" w:right="1440" w:bottom="1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FFF0F1" w14:textId="77777777" w:rsidR="00961931" w:rsidRDefault="00961931" w:rsidP="004C7664">
      <w:r>
        <w:separator/>
      </w:r>
    </w:p>
  </w:endnote>
  <w:endnote w:type="continuationSeparator" w:id="0">
    <w:p w14:paraId="5C71077C" w14:textId="77777777" w:rsidR="00961931" w:rsidRDefault="00961931" w:rsidP="004C7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D57FD" w14:textId="77777777" w:rsidR="000A6505" w:rsidRDefault="000A65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BF405" w14:textId="18DD2F85" w:rsidR="00AD65EE" w:rsidRPr="0045014F" w:rsidRDefault="00AD65EE">
    <w:pPr>
      <w:pStyle w:val="Footer"/>
      <w:jc w:val="right"/>
    </w:pPr>
    <w:r w:rsidRPr="0045014F">
      <w:rPr>
        <w:sz w:val="18"/>
        <w:szCs w:val="16"/>
      </w:rPr>
      <w:t xml:space="preserve">Page </w:t>
    </w:r>
    <w:r w:rsidRPr="0045014F">
      <w:rPr>
        <w:sz w:val="18"/>
        <w:szCs w:val="16"/>
      </w:rPr>
      <w:fldChar w:fldCharType="begin"/>
    </w:r>
    <w:r w:rsidRPr="0045014F">
      <w:rPr>
        <w:sz w:val="18"/>
        <w:szCs w:val="16"/>
      </w:rPr>
      <w:instrText xml:space="preserve"> PAGE </w:instrText>
    </w:r>
    <w:r w:rsidRPr="0045014F">
      <w:rPr>
        <w:sz w:val="18"/>
        <w:szCs w:val="16"/>
      </w:rPr>
      <w:fldChar w:fldCharType="separate"/>
    </w:r>
    <w:r>
      <w:rPr>
        <w:noProof/>
        <w:sz w:val="18"/>
        <w:szCs w:val="16"/>
      </w:rPr>
      <w:t>1</w:t>
    </w:r>
    <w:r w:rsidRPr="0045014F">
      <w:rPr>
        <w:sz w:val="18"/>
        <w:szCs w:val="16"/>
      </w:rPr>
      <w:fldChar w:fldCharType="end"/>
    </w:r>
    <w:r w:rsidRPr="0045014F">
      <w:rPr>
        <w:sz w:val="18"/>
        <w:szCs w:val="16"/>
      </w:rPr>
      <w:t xml:space="preserve"> of </w:t>
    </w:r>
    <w:r>
      <w:rPr>
        <w:sz w:val="18"/>
        <w:szCs w:val="16"/>
      </w:rPr>
      <w:t>28</w:t>
    </w:r>
  </w:p>
  <w:p w14:paraId="31AD332B" w14:textId="77777777" w:rsidR="00AD65EE" w:rsidRPr="003B0FF8" w:rsidRDefault="00AD65E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A2302" w14:textId="77777777" w:rsidR="000A6505" w:rsidRDefault="000A650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0F1A7E" w14:textId="77777777" w:rsidR="00AD65EE" w:rsidRPr="003B0FF8" w:rsidRDefault="00AD65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8EA4F2" w14:textId="77777777" w:rsidR="00961931" w:rsidRDefault="00961931" w:rsidP="004C7664">
      <w:r>
        <w:separator/>
      </w:r>
    </w:p>
  </w:footnote>
  <w:footnote w:type="continuationSeparator" w:id="0">
    <w:p w14:paraId="3134BAE5" w14:textId="77777777" w:rsidR="00961931" w:rsidRDefault="00961931" w:rsidP="004C7664">
      <w:r>
        <w:continuationSeparator/>
      </w:r>
    </w:p>
  </w:footnote>
  <w:footnote w:id="1">
    <w:p w14:paraId="0AE54872" w14:textId="23B716DC" w:rsidR="00AD65EE" w:rsidRDefault="00AD65EE">
      <w:pPr>
        <w:pStyle w:val="FootnoteText"/>
      </w:pPr>
      <w:r>
        <w:rPr>
          <w:rStyle w:val="FootnoteReference"/>
        </w:rPr>
        <w:footnoteRef/>
      </w:r>
      <w:r>
        <w:t xml:space="preserve"> The Cook Recapture Well is effectively a part of the Phelps County Canal Groundwater Recharge Project and is only factored into the assessment of accretions and shortage reduction credits for that project.</w:t>
      </w:r>
    </w:p>
  </w:footnote>
  <w:footnote w:id="2">
    <w:p w14:paraId="2A40C039" w14:textId="60671269" w:rsidR="00AD65EE" w:rsidRDefault="00AD65EE">
      <w:pPr>
        <w:pStyle w:val="FootnoteText"/>
      </w:pPr>
      <w:r>
        <w:rPr>
          <w:rStyle w:val="FootnoteReference"/>
        </w:rPr>
        <w:footnoteRef/>
      </w:r>
      <w:r>
        <w:t xml:space="preserve"> An initial attempt at comprehensive accounting was presented as part of the PRRIP Governance Committee Water Workshop in March 2018, but that was not compiled into a formal accounting memo.</w:t>
      </w:r>
    </w:p>
  </w:footnote>
  <w:footnote w:id="3">
    <w:p w14:paraId="272B5E7B" w14:textId="50FB3858" w:rsidR="00AD65EE" w:rsidRDefault="00AD65EE">
      <w:pPr>
        <w:pStyle w:val="FootnoteText"/>
      </w:pPr>
      <w:r>
        <w:rPr>
          <w:rStyle w:val="FootnoteReference"/>
        </w:rPr>
        <w:footnoteRef/>
      </w:r>
      <w:r>
        <w:t xml:space="preserve"> The Program’s First Increment is the 13-year period from January 1, 2007 through December 31, 2019.</w:t>
      </w:r>
    </w:p>
  </w:footnote>
  <w:footnote w:id="4">
    <w:p w14:paraId="2A296FC0" w14:textId="77777777" w:rsidR="00AD65EE" w:rsidRDefault="00AD65EE" w:rsidP="00D160D7">
      <w:pPr>
        <w:pStyle w:val="FootnoteText"/>
      </w:pPr>
      <w:r>
        <w:rPr>
          <w:rStyle w:val="FootnoteReference"/>
        </w:rPr>
        <w:footnoteRef/>
      </w:r>
      <w:r>
        <w:t xml:space="preserve"> Program Document, Attachment 5, Section 11, Appendix A-5.</w:t>
      </w:r>
    </w:p>
  </w:footnote>
  <w:footnote w:id="5">
    <w:p w14:paraId="77D7599B" w14:textId="5492C2C4" w:rsidR="00AD65EE" w:rsidRDefault="00AD65EE">
      <w:pPr>
        <w:pStyle w:val="FootnoteText"/>
      </w:pPr>
      <w:r>
        <w:rPr>
          <w:rStyle w:val="FootnoteReference"/>
        </w:rPr>
        <w:footnoteRef/>
      </w:r>
      <w:r>
        <w:t xml:space="preserve"> The Pathfinder EA and the Wyoming Account (aka Pathfinder Municipal Account) were created through the Pathfinder Modification Project, which was completed in 2012 to reclaim Pathfinder Reservoir storage capacity lost to sedimentation over a century of operation.</w:t>
      </w:r>
    </w:p>
  </w:footnote>
  <w:footnote w:id="6">
    <w:p w14:paraId="5EACD778" w14:textId="53AEA3AB" w:rsidR="00AD65EE" w:rsidRDefault="00AD65EE">
      <w:pPr>
        <w:pStyle w:val="FootnoteText"/>
      </w:pPr>
      <w:r>
        <w:rPr>
          <w:rStyle w:val="FootnoteReference"/>
        </w:rPr>
        <w:footnoteRef/>
      </w:r>
      <w:r>
        <w:t xml:space="preserve"> Tamarack I accounting is presented through the irrigation year ending in October 2018.</w:t>
      </w:r>
    </w:p>
  </w:footnote>
  <w:footnote w:id="7">
    <w:p w14:paraId="7264491E" w14:textId="25548B60" w:rsidR="00AD65EE" w:rsidRDefault="00AD65EE">
      <w:pPr>
        <w:pStyle w:val="FootnoteText"/>
      </w:pPr>
      <w:r>
        <w:rPr>
          <w:rStyle w:val="FootnoteReference"/>
        </w:rPr>
        <w:footnoteRef/>
      </w:r>
      <w:r>
        <w:t xml:space="preserve"> This permitting scenario is a result of most recharge projects first operating in the early non-irrigation season months (September-December) and the continued operation of these projects under a succession of temporary one-year excess flow diversion permits issued by the NDNR.  The exception is the CPNRD groundwater recharge project, which was granted permanent excess flow diversion permits for the Thirty Mile, Cozad, and Orchard-Alfalfa canals in 2015.</w:t>
      </w:r>
    </w:p>
  </w:footnote>
  <w:footnote w:id="8">
    <w:p w14:paraId="139589F0" w14:textId="75FB8668" w:rsidR="00AD65EE" w:rsidRPr="00AE6223" w:rsidRDefault="00AD65EE">
      <w:pPr>
        <w:pStyle w:val="FootnoteText"/>
      </w:pPr>
      <w:r>
        <w:rPr>
          <w:rStyle w:val="FootnoteReference"/>
        </w:rPr>
        <w:footnoteRef/>
      </w:r>
      <w:r>
        <w:t xml:space="preserve"> The WMC Loss Model was first developed by the Water Management Committee as part of the </w:t>
      </w:r>
      <w:r w:rsidRPr="00AE6223">
        <w:t xml:space="preserve">Water Conservation/Supply Reconnaissance Study </w:t>
      </w:r>
      <w:r>
        <w:t xml:space="preserve">(Boyle et al. 1999, Chapter 7 and Appendix E), covering the period 1975-1994.  The model period was updated to include 1995-2006 as part of the Water Management Study, Phase I (Boyle 2009).  Use of the WMC Loss Model for routing in WAP project score analyses was approved by the GC in 2010 (GC Meeting Minutes, June 2010).  </w:t>
      </w:r>
    </w:p>
  </w:footnote>
  <w:footnote w:id="9">
    <w:p w14:paraId="5F090A16" w14:textId="5E334577" w:rsidR="00AD65EE" w:rsidRDefault="00AD65EE">
      <w:pPr>
        <w:pStyle w:val="FootnoteText"/>
      </w:pPr>
      <w:r>
        <w:rPr>
          <w:rStyle w:val="FootnoteReference"/>
        </w:rPr>
        <w:footnoteRef/>
      </w:r>
      <w:r>
        <w:t xml:space="preserve"> Excess Analysis White Paper.  PRRIP – ED Office Draft, May 5, 2016.</w:t>
      </w:r>
    </w:p>
  </w:footnote>
  <w:footnote w:id="10">
    <w:p w14:paraId="246FFA0D" w14:textId="5D0BEB27" w:rsidR="00AD65EE" w:rsidRDefault="00AD65EE">
      <w:pPr>
        <w:pStyle w:val="FootnoteText"/>
      </w:pPr>
      <w:r>
        <w:rPr>
          <w:rStyle w:val="FootnoteReference"/>
        </w:rPr>
        <w:footnoteRef/>
      </w:r>
      <w:r>
        <w:t xml:space="preserve"> From Table 3, Figure 13, and Figure 15 in the Excess Analysis White Paper.</w:t>
      </w:r>
    </w:p>
  </w:footnote>
  <w:footnote w:id="11">
    <w:p w14:paraId="59D31F16" w14:textId="378FE39F" w:rsidR="00AD65EE" w:rsidRDefault="00AD65EE" w:rsidP="00761358">
      <w:pPr>
        <w:pStyle w:val="FootnoteText"/>
      </w:pPr>
      <w:r>
        <w:rPr>
          <w:rStyle w:val="FootnoteReference"/>
        </w:rPr>
        <w:footnoteRef/>
      </w:r>
      <w:r>
        <w:t xml:space="preserve"> From Table 2 in the Excess Analysis White Paper.</w:t>
      </w:r>
    </w:p>
  </w:footnote>
  <w:footnote w:id="12">
    <w:p w14:paraId="59B6925A" w14:textId="7A38AB1A" w:rsidR="00AD65EE" w:rsidRDefault="00AD65EE" w:rsidP="00761358">
      <w:pPr>
        <w:pStyle w:val="FootnoteText"/>
      </w:pPr>
      <w:r>
        <w:rPr>
          <w:rStyle w:val="FootnoteReference"/>
        </w:rPr>
        <w:footnoteRef/>
      </w:r>
      <w:r>
        <w:t xml:space="preserve"> From Figure 10 in the Excess Analysis White Paper.</w:t>
      </w:r>
    </w:p>
  </w:footnote>
  <w:footnote w:id="13">
    <w:p w14:paraId="043D3D95" w14:textId="5F599585" w:rsidR="00AD65EE" w:rsidRDefault="00AD65EE">
      <w:pPr>
        <w:pStyle w:val="FootnoteText"/>
      </w:pPr>
      <w:r>
        <w:rPr>
          <w:rStyle w:val="FootnoteReference"/>
        </w:rPr>
        <w:footnoteRef/>
      </w:r>
      <w:r>
        <w:t xml:space="preserve"> From Figure 11 in the Excess Analysis White Paper. </w:t>
      </w:r>
    </w:p>
  </w:footnote>
  <w:footnote w:id="14">
    <w:p w14:paraId="79DA86E4" w14:textId="77777777" w:rsidR="00AD65EE" w:rsidRDefault="00AD65EE" w:rsidP="00136DE3">
      <w:pPr>
        <w:pStyle w:val="FootnoteText"/>
      </w:pPr>
      <w:r>
        <w:rPr>
          <w:rStyle w:val="FootnoteReference"/>
        </w:rPr>
        <w:footnoteRef/>
      </w:r>
      <w:r>
        <w:t xml:space="preserve"> For example, an invoice from NPPD dated June 28, 2016 states “…Dawson County Canal diverted for groundwater recharge from April 6-24, prior to NPPDs normal irrigation operations which began on April 25</w:t>
      </w:r>
      <w:r w:rsidRPr="00FA3862">
        <w:rPr>
          <w:vertAlign w:val="superscript"/>
        </w:rPr>
        <w:t>th</w:t>
      </w:r>
      <w:r>
        <w:t>.”</w:t>
      </w:r>
    </w:p>
  </w:footnote>
  <w:footnote w:id="15">
    <w:p w14:paraId="16692D95" w14:textId="77777777" w:rsidR="00AD65EE" w:rsidRDefault="00AD65EE" w:rsidP="007E5C02">
      <w:pPr>
        <w:pStyle w:val="FootnoteText"/>
      </w:pPr>
      <w:r>
        <w:rPr>
          <w:rStyle w:val="FootnoteReference"/>
        </w:rPr>
        <w:footnoteRef/>
      </w:r>
      <w:r>
        <w:t xml:space="preserve"> </w:t>
      </w:r>
      <w:r w:rsidRPr="00255869">
        <w:t>An irrigation year runs from November 1 of the previous year through October 31 of the current year.  The irrigation year is used here for consistency with reporting by the State of Colorado.</w:t>
      </w:r>
    </w:p>
  </w:footnote>
  <w:footnote w:id="16">
    <w:p w14:paraId="1EDCFA3A" w14:textId="5466D175" w:rsidR="00AD65EE" w:rsidRDefault="00AD65EE">
      <w:pPr>
        <w:pStyle w:val="FootnoteText"/>
      </w:pPr>
      <w:r>
        <w:rPr>
          <w:rStyle w:val="FootnoteReference"/>
        </w:rPr>
        <w:footnoteRef/>
      </w:r>
      <w:r>
        <w:t xml:space="preserve"> From Figure 10 in the Excess Analysis White Paper.</w:t>
      </w:r>
    </w:p>
  </w:footnote>
  <w:footnote w:id="17">
    <w:p w14:paraId="77B782DB" w14:textId="7A2F21A1" w:rsidR="00AD65EE" w:rsidRDefault="00AD65EE">
      <w:pPr>
        <w:pStyle w:val="FootnoteText"/>
      </w:pPr>
      <w:r>
        <w:rPr>
          <w:rStyle w:val="FootnoteReference"/>
        </w:rPr>
        <w:footnoteRef/>
      </w:r>
      <w:r>
        <w:t xml:space="preserve"> In past years, recharge diversions into Phelps County Canal and Elwood Reservoir were covered under separate permits from the NDNR.  The temporary recharge permit A-19617, issued on November 30, 2018, combined both of those projects (and several other recharge projects served by CNPPID) under one permit.</w:t>
      </w:r>
    </w:p>
  </w:footnote>
  <w:footnote w:id="18">
    <w:p w14:paraId="1E6B9D1A" w14:textId="496A130F" w:rsidR="00AD65EE" w:rsidRDefault="00AD65EE">
      <w:pPr>
        <w:pStyle w:val="FootnoteText"/>
      </w:pPr>
      <w:r>
        <w:rPr>
          <w:rStyle w:val="FootnoteReference"/>
        </w:rPr>
        <w:footnoteRef/>
      </w:r>
      <w:r>
        <w:t xml:space="preserve"> Invoiced Phelps recharge diversions between September 15, 2017 and December 31, 2017, not previously accounted for in the 2016-2017 Phelps recharge report, totaled 2,671.2 AF.</w:t>
      </w:r>
    </w:p>
  </w:footnote>
  <w:footnote w:id="19">
    <w:p w14:paraId="37083A99" w14:textId="5FA0B60E" w:rsidR="00AD65EE" w:rsidRDefault="00AD65EE">
      <w:pPr>
        <w:pStyle w:val="FootnoteText"/>
      </w:pPr>
      <w:r>
        <w:rPr>
          <w:rStyle w:val="FootnoteReference"/>
        </w:rPr>
        <w:footnoteRef/>
      </w:r>
      <w:r>
        <w:t xml:space="preserve"> Cook Well pumping reported for 2017 totaled 49,454,100 gallons (151.8 AF).</w:t>
      </w:r>
    </w:p>
  </w:footnote>
  <w:footnote w:id="20">
    <w:p w14:paraId="0E95B646" w14:textId="25028EFC" w:rsidR="00AD65EE" w:rsidRDefault="00AD65EE">
      <w:pPr>
        <w:pStyle w:val="FootnoteText"/>
      </w:pPr>
      <w:r>
        <w:rPr>
          <w:rStyle w:val="FootnoteReference"/>
        </w:rPr>
        <w:footnoteRef/>
      </w:r>
      <w:r>
        <w:t xml:space="preserve"> Phelps County Canal Groundwater Recharge Recommended Score and Scoring Analysis. PRRIP – ED Office Final, November 27, 2013.</w:t>
      </w:r>
    </w:p>
  </w:footnote>
  <w:footnote w:id="21">
    <w:p w14:paraId="54136A19" w14:textId="04412A5F" w:rsidR="00AD65EE" w:rsidRDefault="00AD65EE">
      <w:pPr>
        <w:pStyle w:val="FootnoteText"/>
      </w:pPr>
      <w:r>
        <w:rPr>
          <w:rStyle w:val="FootnoteReference"/>
        </w:rPr>
        <w:footnoteRef/>
      </w:r>
      <w:r>
        <w:t xml:space="preserve"> Phelps Groundwater Recapture Scoring Analysis of the Cook Tract Well.  PRRIP – ED Office, August 30, 2016.</w:t>
      </w:r>
    </w:p>
  </w:footnote>
  <w:footnote w:id="22">
    <w:p w14:paraId="0258B688" w14:textId="77777777" w:rsidR="00AD65EE" w:rsidRDefault="00AD65EE" w:rsidP="00E55909">
      <w:pPr>
        <w:pStyle w:val="FootnoteText"/>
      </w:pPr>
      <w:r>
        <w:rPr>
          <w:rStyle w:val="FootnoteReference"/>
        </w:rPr>
        <w:footnoteRef/>
      </w:r>
      <w:r>
        <w:t xml:space="preserve"> This includes, but is not limited to, water from the No-Cost NCCW, CNPPID irrigator lease, and CPNRD surface water transfer WAP projects, as evidenced by the October 2018 letters from the NDNR, confirming credits to the Lake McConaughy EA in that month.  See Appendices H, I, and J.</w:t>
      </w:r>
    </w:p>
  </w:footnote>
  <w:footnote w:id="23">
    <w:p w14:paraId="498BD6BD" w14:textId="42A29104" w:rsidR="00AD65EE" w:rsidRDefault="00AD65EE">
      <w:pPr>
        <w:pStyle w:val="FootnoteText"/>
      </w:pPr>
      <w:r>
        <w:rPr>
          <w:rStyle w:val="FootnoteReference"/>
        </w:rPr>
        <w:footnoteRef/>
      </w:r>
      <w:r>
        <w:t xml:space="preserve"> The Pathfinder Municipal Account was created as part of the Pathfinder Modification Project and has a capacity of 20,000 AF.</w:t>
      </w:r>
    </w:p>
  </w:footnote>
  <w:footnote w:id="24">
    <w:p w14:paraId="3F5854E8" w14:textId="3ABC04D2" w:rsidR="00AD65EE" w:rsidRDefault="00AD65EE">
      <w:pPr>
        <w:pStyle w:val="FootnoteText"/>
      </w:pPr>
      <w:r>
        <w:rPr>
          <w:rStyle w:val="FootnoteReference"/>
        </w:rPr>
        <w:footnoteRef/>
      </w:r>
      <w:r>
        <w:t xml:space="preserve"> In the spring of each year, the WWDO provides an estimate of Municipal Account water available to the Program.  The Program, in consultation with the USFWS EA Manager, then decides whether to accept available water above the 4,800 AF baseline release.  By mid-summer, the WWDO may revise the amount available based on runoff accruals to the Municipal Account during the intervening months.</w:t>
      </w:r>
    </w:p>
  </w:footnote>
  <w:footnote w:id="25">
    <w:p w14:paraId="67F55B34" w14:textId="6487240D" w:rsidR="00AD65EE" w:rsidRDefault="00AD65EE">
      <w:pPr>
        <w:pStyle w:val="FootnoteText"/>
      </w:pPr>
      <w:r>
        <w:rPr>
          <w:rStyle w:val="FootnoteReference"/>
        </w:rPr>
        <w:footnoteRef/>
      </w:r>
      <w:r>
        <w:t xml:space="preserve"> The water use lease agreement was first amended effective January 1, 2017 to modify the rate structure for surface water transfers and groundwater accretions.</w:t>
      </w:r>
    </w:p>
  </w:footnote>
  <w:footnote w:id="26">
    <w:p w14:paraId="370F177D" w14:textId="6795C54D" w:rsidR="00AD65EE" w:rsidRDefault="00AD65EE">
      <w:pPr>
        <w:pStyle w:val="FootnoteText"/>
      </w:pPr>
      <w:r>
        <w:rPr>
          <w:rStyle w:val="FootnoteReference"/>
        </w:rPr>
        <w:footnoteRef/>
      </w:r>
      <w:r>
        <w:t xml:space="preserve"> The terms of the lease agreement specify that “CPNRD shall provide a minimum of fifty percent of all available water returned to the Platte River for instream use to the [Program]” but “CPNRD does not guarantee any minimum amount of stream flow augmentation through Transferred Surface Water or Ground Water Recharge.”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24624B" w14:textId="77777777" w:rsidR="000A6505" w:rsidRDefault="000A65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D33C0" w14:textId="117AB8F4" w:rsidR="00AD65EE" w:rsidRPr="005268A3" w:rsidRDefault="000A6505" w:rsidP="00F416EE">
    <w:pPr>
      <w:pStyle w:val="Header"/>
      <w:tabs>
        <w:tab w:val="left" w:pos="8190"/>
      </w:tabs>
      <w:rPr>
        <w:b/>
      </w:rPr>
    </w:pPr>
    <w:sdt>
      <w:sdtPr>
        <w:rPr>
          <w:b/>
        </w:rPr>
        <w:id w:val="-650822337"/>
        <w:docPartObj>
          <w:docPartGallery w:val="Watermarks"/>
          <w:docPartUnique/>
        </w:docPartObj>
      </w:sdtPr>
      <w:sdtContent>
        <w:r w:rsidRPr="000A6505">
          <w:rPr>
            <w:b/>
            <w:noProof/>
          </w:rPr>
          <w:pict w14:anchorId="231E14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61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AD65EE">
      <w:rPr>
        <w:b/>
        <w:noProof/>
      </w:rPr>
      <mc:AlternateContent>
        <mc:Choice Requires="wps">
          <w:drawing>
            <wp:anchor distT="0" distB="0" distL="114300" distR="114300" simplePos="0" relativeHeight="251657216" behindDoc="0" locked="0" layoutInCell="1" allowOverlap="1" wp14:anchorId="0A76D37F" wp14:editId="132E366E">
              <wp:simplePos x="0" y="0"/>
              <wp:positionH relativeFrom="column">
                <wp:posOffset>0</wp:posOffset>
              </wp:positionH>
              <wp:positionV relativeFrom="paragraph">
                <wp:posOffset>440055</wp:posOffset>
              </wp:positionV>
              <wp:extent cx="2743200" cy="0"/>
              <wp:effectExtent l="9525" t="11430" r="9525" b="762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D0EAFB9" id="_x0000_t32" coordsize="21600,21600" o:spt="32" o:oned="t" path="m,l21600,21600e" filled="f">
              <v:path arrowok="t" fillok="f" o:connecttype="none"/>
              <o:lock v:ext="edit" shapetype="t"/>
            </v:shapetype>
            <v:shape id="AutoShape 1" o:spid="_x0000_s1026" type="#_x0000_t32" style="position:absolute;margin-left:0;margin-top:34.65pt;width:3in;height:0;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"/>
          </w:pict>
        </mc:Fallback>
      </mc:AlternateContent>
    </w:r>
    <w:r w:rsidR="00AD65EE">
      <w:rPr>
        <w:b/>
        <w:noProof/>
      </w:rPr>
      <mc:AlternateContent>
        <mc:Choice Requires="wps">
          <w:drawing>
            <wp:anchor distT="0" distB="0" distL="114300" distR="114300" simplePos="0" relativeHeight="251658240" behindDoc="0" locked="0" layoutInCell="1" allowOverlap="1" wp14:anchorId="0B9C7533" wp14:editId="2F7F4E3F">
              <wp:simplePos x="0" y="0"/>
              <wp:positionH relativeFrom="column">
                <wp:posOffset>3200400</wp:posOffset>
              </wp:positionH>
              <wp:positionV relativeFrom="paragraph">
                <wp:posOffset>437515</wp:posOffset>
              </wp:positionV>
              <wp:extent cx="2743200" cy="0"/>
              <wp:effectExtent l="9525" t="8890" r="9525" b="1016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1B08BF" id="AutoShape 2" o:spid="_x0000_s1026" type="#_x0000_t32" style="position:absolute;margin-left:252pt;margin-top:34.45pt;width:3in;height:0;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"/>
          </w:pict>
        </mc:Fallback>
      </mc:AlternateContent>
    </w:r>
    <w:r w:rsidR="00AD65EE" w:rsidRPr="005268A3">
      <w:rPr>
        <w:b/>
      </w:rPr>
      <w:t>PRRIP – ED</w:t>
    </w:r>
    <w:r w:rsidR="00AD65EE">
      <w:rPr>
        <w:b/>
      </w:rPr>
      <w:t>O</w:t>
    </w:r>
    <w:r w:rsidR="00AD65EE" w:rsidRPr="005268A3">
      <w:rPr>
        <w:b/>
      </w:rPr>
      <w:t xml:space="preserve"> DRAFT</w:t>
    </w:r>
    <w:r w:rsidR="00AD65EE" w:rsidRPr="005268A3">
      <w:tab/>
    </w:r>
    <w:r w:rsidR="00AD65EE">
      <w:rPr>
        <w:noProof/>
      </w:rPr>
      <w:drawing>
        <wp:inline distT="0" distB="0" distL="0" distR="0" wp14:anchorId="0C48D2A3" wp14:editId="60C57807">
          <wp:extent cx="478155" cy="644525"/>
          <wp:effectExtent l="0" t="0" r="0" b="0"/>
          <wp:docPr id="8" name="Picture 8" descr="Final_Black_Platte_Logo_Powerpoi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srcRect/>
                  <a:stretch>
                    <a:fillRect/>
                  </a:stretch>
                </pic:blipFill>
                <pic:spPr bwMode="auto">
                  <a:xfrm>
                    <a:off x="0" y="0"/>
                    <a:ext cx="478155" cy="644525"/>
                  </a:xfrm>
                  <a:prstGeom prst="rect">
                    <a:avLst/>
                  </a:prstGeom>
                  <a:noFill/>
                  <a:ln w="9525">
                    <a:noFill/>
                    <a:miter lim="800000"/>
                    <a:headEnd/>
                    <a:tailEnd/>
                  </a:ln>
                </pic:spPr>
              </pic:pic>
            </a:graphicData>
          </a:graphic>
        </wp:inline>
      </w:drawing>
    </w:r>
    <w:r w:rsidR="00AD65EE" w:rsidRPr="005268A3">
      <w:tab/>
    </w:r>
    <w:r w:rsidR="00AD65EE">
      <w:t xml:space="preserve"> </w:t>
    </w:r>
    <w:r w:rsidR="00AD65EE">
      <w:rPr>
        <w:b/>
      </w:rPr>
      <w:t>04</w:t>
    </w:r>
    <w:r w:rsidR="00AD65EE" w:rsidRPr="000D0C06">
      <w:rPr>
        <w:b/>
      </w:rPr>
      <w:t>/</w:t>
    </w:r>
    <w:r w:rsidR="00AD65EE">
      <w:rPr>
        <w:b/>
      </w:rPr>
      <w:t>23</w:t>
    </w:r>
    <w:r w:rsidR="00AD65EE" w:rsidRPr="000D0C06">
      <w:rPr>
        <w:b/>
      </w:rPr>
      <w:t>/</w:t>
    </w:r>
    <w:r w:rsidR="00AD65EE">
      <w:rPr>
        <w:b/>
      </w:rPr>
      <w:t>2019</w:t>
    </w:r>
  </w:p>
  <w:p w14:paraId="02E6F42B" w14:textId="77777777" w:rsidR="00AD65EE" w:rsidRDefault="00AD65E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E9C25" w14:textId="77777777" w:rsidR="000A6505" w:rsidRDefault="000A65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6E2ED2"/>
    <w:multiLevelType w:val="hybridMultilevel"/>
    <w:tmpl w:val="53E85D76"/>
    <w:lvl w:ilvl="0" w:tplc="04090015">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03A7F4E"/>
    <w:multiLevelType w:val="hybridMultilevel"/>
    <w:tmpl w:val="9BB63BB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2E1ED8"/>
    <w:multiLevelType w:val="hybridMultilevel"/>
    <w:tmpl w:val="E95E78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8D51BAF"/>
    <w:multiLevelType w:val="hybridMultilevel"/>
    <w:tmpl w:val="C0BC7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A23008"/>
    <w:multiLevelType w:val="hybridMultilevel"/>
    <w:tmpl w:val="4F5E2094"/>
    <w:lvl w:ilvl="0" w:tplc="441EB8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5078CB"/>
    <w:multiLevelType w:val="hybridMultilevel"/>
    <w:tmpl w:val="B89CF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3B32ED"/>
    <w:multiLevelType w:val="hybridMultilevel"/>
    <w:tmpl w:val="6A524C46"/>
    <w:lvl w:ilvl="0" w:tplc="DE5ABA1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6A3279C"/>
    <w:multiLevelType w:val="hybridMultilevel"/>
    <w:tmpl w:val="B114E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923B0F"/>
    <w:multiLevelType w:val="hybridMultilevel"/>
    <w:tmpl w:val="6A328C5E"/>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32C0A87"/>
    <w:multiLevelType w:val="hybridMultilevel"/>
    <w:tmpl w:val="40380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B64460D"/>
    <w:multiLevelType w:val="hybridMultilevel"/>
    <w:tmpl w:val="2716C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D12356C"/>
    <w:multiLevelType w:val="hybridMultilevel"/>
    <w:tmpl w:val="53E85D7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2D47975"/>
    <w:multiLevelType w:val="hybridMultilevel"/>
    <w:tmpl w:val="913E9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11"/>
  </w:num>
  <w:num w:numId="4">
    <w:abstractNumId w:val="0"/>
  </w:num>
  <w:num w:numId="5">
    <w:abstractNumId w:val="5"/>
  </w:num>
  <w:num w:numId="6">
    <w:abstractNumId w:val="3"/>
  </w:num>
  <w:num w:numId="7">
    <w:abstractNumId w:val="7"/>
  </w:num>
  <w:num w:numId="8">
    <w:abstractNumId w:val="10"/>
  </w:num>
  <w:num w:numId="9">
    <w:abstractNumId w:val="9"/>
  </w:num>
  <w:num w:numId="10">
    <w:abstractNumId w:val="12"/>
  </w:num>
  <w:num w:numId="11">
    <w:abstractNumId w:val="4"/>
  </w:num>
  <w:num w:numId="12">
    <w:abstractNumId w:val="2"/>
  </w:num>
  <w:num w:numId="13">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drawingGridHorizontalSpacing w:val="110"/>
  <w:displayHorizontalDrawingGridEvery w:val="2"/>
  <w:characterSpacingControl w:val="doNotCompress"/>
  <w:hdrShapeDefaults>
    <o:shapedefaults v:ext="edit" spidmax="2050" style="mso-width-relative:margin;mso-height-relative:margin" fillcolor="white" stroke="f" strokecolor="none [3212]">
      <v:fill color="white"/>
      <v:stroke color="none [3212]" on="f"/>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7562"/>
    <w:rsid w:val="00000A84"/>
    <w:rsid w:val="000010E1"/>
    <w:rsid w:val="00001C2D"/>
    <w:rsid w:val="00002572"/>
    <w:rsid w:val="000028CE"/>
    <w:rsid w:val="00002ECE"/>
    <w:rsid w:val="0000380E"/>
    <w:rsid w:val="00003CB8"/>
    <w:rsid w:val="00003E07"/>
    <w:rsid w:val="00004C8C"/>
    <w:rsid w:val="000051E8"/>
    <w:rsid w:val="00006816"/>
    <w:rsid w:val="00006DD0"/>
    <w:rsid w:val="00006DE0"/>
    <w:rsid w:val="0000784C"/>
    <w:rsid w:val="00007857"/>
    <w:rsid w:val="00011AED"/>
    <w:rsid w:val="00012225"/>
    <w:rsid w:val="0001264D"/>
    <w:rsid w:val="00013CFC"/>
    <w:rsid w:val="000145FC"/>
    <w:rsid w:val="000151DF"/>
    <w:rsid w:val="0001529E"/>
    <w:rsid w:val="000153A9"/>
    <w:rsid w:val="000166ED"/>
    <w:rsid w:val="00017F27"/>
    <w:rsid w:val="00022324"/>
    <w:rsid w:val="00022872"/>
    <w:rsid w:val="0002425D"/>
    <w:rsid w:val="00024B0D"/>
    <w:rsid w:val="00024C0E"/>
    <w:rsid w:val="00024EB5"/>
    <w:rsid w:val="00025844"/>
    <w:rsid w:val="00027866"/>
    <w:rsid w:val="00027B38"/>
    <w:rsid w:val="000302DF"/>
    <w:rsid w:val="00030302"/>
    <w:rsid w:val="0003141C"/>
    <w:rsid w:val="00032847"/>
    <w:rsid w:val="00032C1A"/>
    <w:rsid w:val="00033E35"/>
    <w:rsid w:val="00034366"/>
    <w:rsid w:val="00036455"/>
    <w:rsid w:val="00036470"/>
    <w:rsid w:val="00036511"/>
    <w:rsid w:val="0003664B"/>
    <w:rsid w:val="00036D83"/>
    <w:rsid w:val="00037718"/>
    <w:rsid w:val="00040408"/>
    <w:rsid w:val="00040FF7"/>
    <w:rsid w:val="0004101D"/>
    <w:rsid w:val="00042760"/>
    <w:rsid w:val="000434EA"/>
    <w:rsid w:val="0004366A"/>
    <w:rsid w:val="000442D0"/>
    <w:rsid w:val="000453D3"/>
    <w:rsid w:val="00046C41"/>
    <w:rsid w:val="00047EE0"/>
    <w:rsid w:val="00050349"/>
    <w:rsid w:val="00050609"/>
    <w:rsid w:val="0005089C"/>
    <w:rsid w:val="00050C25"/>
    <w:rsid w:val="0005161E"/>
    <w:rsid w:val="00051744"/>
    <w:rsid w:val="000527F0"/>
    <w:rsid w:val="00052EFD"/>
    <w:rsid w:val="00052FA2"/>
    <w:rsid w:val="00053A58"/>
    <w:rsid w:val="000551A3"/>
    <w:rsid w:val="0005691A"/>
    <w:rsid w:val="000569CB"/>
    <w:rsid w:val="00056BCB"/>
    <w:rsid w:val="00062AD6"/>
    <w:rsid w:val="00062E3E"/>
    <w:rsid w:val="00063D6E"/>
    <w:rsid w:val="000659A9"/>
    <w:rsid w:val="0007068D"/>
    <w:rsid w:val="00070F5B"/>
    <w:rsid w:val="0007128A"/>
    <w:rsid w:val="000714FF"/>
    <w:rsid w:val="00072809"/>
    <w:rsid w:val="000731A5"/>
    <w:rsid w:val="0007369A"/>
    <w:rsid w:val="00073E2C"/>
    <w:rsid w:val="00073F9D"/>
    <w:rsid w:val="00074756"/>
    <w:rsid w:val="00074BE3"/>
    <w:rsid w:val="00076153"/>
    <w:rsid w:val="000774C9"/>
    <w:rsid w:val="0008073F"/>
    <w:rsid w:val="00080876"/>
    <w:rsid w:val="0008223C"/>
    <w:rsid w:val="00082A91"/>
    <w:rsid w:val="0008404E"/>
    <w:rsid w:val="00087BC6"/>
    <w:rsid w:val="00087BF0"/>
    <w:rsid w:val="00091E37"/>
    <w:rsid w:val="00092C5A"/>
    <w:rsid w:val="00092DA1"/>
    <w:rsid w:val="00092FE1"/>
    <w:rsid w:val="00094644"/>
    <w:rsid w:val="000950BA"/>
    <w:rsid w:val="00097257"/>
    <w:rsid w:val="000972AC"/>
    <w:rsid w:val="0009776D"/>
    <w:rsid w:val="000A1901"/>
    <w:rsid w:val="000A1C4A"/>
    <w:rsid w:val="000A222C"/>
    <w:rsid w:val="000A2270"/>
    <w:rsid w:val="000A26BB"/>
    <w:rsid w:val="000A328B"/>
    <w:rsid w:val="000A3D40"/>
    <w:rsid w:val="000A4853"/>
    <w:rsid w:val="000A4B4C"/>
    <w:rsid w:val="000A4BE0"/>
    <w:rsid w:val="000A4F75"/>
    <w:rsid w:val="000A5381"/>
    <w:rsid w:val="000A6505"/>
    <w:rsid w:val="000A69F0"/>
    <w:rsid w:val="000A6A07"/>
    <w:rsid w:val="000A6E67"/>
    <w:rsid w:val="000A768F"/>
    <w:rsid w:val="000B00D3"/>
    <w:rsid w:val="000B1B07"/>
    <w:rsid w:val="000B2C7F"/>
    <w:rsid w:val="000B581E"/>
    <w:rsid w:val="000B5F2B"/>
    <w:rsid w:val="000B6670"/>
    <w:rsid w:val="000B713F"/>
    <w:rsid w:val="000C0342"/>
    <w:rsid w:val="000C0E9E"/>
    <w:rsid w:val="000C19EA"/>
    <w:rsid w:val="000C25D3"/>
    <w:rsid w:val="000C33AE"/>
    <w:rsid w:val="000C3427"/>
    <w:rsid w:val="000C4F34"/>
    <w:rsid w:val="000C5487"/>
    <w:rsid w:val="000C62EB"/>
    <w:rsid w:val="000C63E3"/>
    <w:rsid w:val="000C665E"/>
    <w:rsid w:val="000C70AD"/>
    <w:rsid w:val="000C7DF0"/>
    <w:rsid w:val="000D055B"/>
    <w:rsid w:val="000D0A32"/>
    <w:rsid w:val="000D0C06"/>
    <w:rsid w:val="000D11B9"/>
    <w:rsid w:val="000D1F15"/>
    <w:rsid w:val="000D2DFE"/>
    <w:rsid w:val="000D3148"/>
    <w:rsid w:val="000D3D7B"/>
    <w:rsid w:val="000D53B2"/>
    <w:rsid w:val="000D5597"/>
    <w:rsid w:val="000D5A26"/>
    <w:rsid w:val="000D7BB8"/>
    <w:rsid w:val="000E0024"/>
    <w:rsid w:val="000E02F1"/>
    <w:rsid w:val="000E0481"/>
    <w:rsid w:val="000E15F4"/>
    <w:rsid w:val="000E1BC7"/>
    <w:rsid w:val="000E2467"/>
    <w:rsid w:val="000E2D45"/>
    <w:rsid w:val="000E2F64"/>
    <w:rsid w:val="000E30CF"/>
    <w:rsid w:val="000E3C58"/>
    <w:rsid w:val="000E535C"/>
    <w:rsid w:val="000E61E8"/>
    <w:rsid w:val="000E7525"/>
    <w:rsid w:val="000E79EB"/>
    <w:rsid w:val="000F0876"/>
    <w:rsid w:val="000F0B75"/>
    <w:rsid w:val="000F0C5F"/>
    <w:rsid w:val="000F13A9"/>
    <w:rsid w:val="000F1910"/>
    <w:rsid w:val="000F1CA7"/>
    <w:rsid w:val="000F257B"/>
    <w:rsid w:val="000F340D"/>
    <w:rsid w:val="000F374C"/>
    <w:rsid w:val="000F45BA"/>
    <w:rsid w:val="000F4D3D"/>
    <w:rsid w:val="000F5112"/>
    <w:rsid w:val="000F5611"/>
    <w:rsid w:val="000F57E3"/>
    <w:rsid w:val="000F5BB3"/>
    <w:rsid w:val="000F6A53"/>
    <w:rsid w:val="000F6BB6"/>
    <w:rsid w:val="00100589"/>
    <w:rsid w:val="00100B18"/>
    <w:rsid w:val="00101572"/>
    <w:rsid w:val="001015FF"/>
    <w:rsid w:val="00102144"/>
    <w:rsid w:val="00102D47"/>
    <w:rsid w:val="00103388"/>
    <w:rsid w:val="00103C9E"/>
    <w:rsid w:val="00103DA1"/>
    <w:rsid w:val="001040A4"/>
    <w:rsid w:val="00104304"/>
    <w:rsid w:val="001054E2"/>
    <w:rsid w:val="0010607F"/>
    <w:rsid w:val="00106609"/>
    <w:rsid w:val="00107803"/>
    <w:rsid w:val="00110AD3"/>
    <w:rsid w:val="00110F30"/>
    <w:rsid w:val="00111810"/>
    <w:rsid w:val="00111F2F"/>
    <w:rsid w:val="001130D0"/>
    <w:rsid w:val="00114A3B"/>
    <w:rsid w:val="00116A29"/>
    <w:rsid w:val="00117112"/>
    <w:rsid w:val="00117E16"/>
    <w:rsid w:val="0012079F"/>
    <w:rsid w:val="00120813"/>
    <w:rsid w:val="00120BDF"/>
    <w:rsid w:val="0012136B"/>
    <w:rsid w:val="00121ABA"/>
    <w:rsid w:val="00122410"/>
    <w:rsid w:val="00122B10"/>
    <w:rsid w:val="0012343C"/>
    <w:rsid w:val="00123A33"/>
    <w:rsid w:val="00124382"/>
    <w:rsid w:val="00124526"/>
    <w:rsid w:val="001250AB"/>
    <w:rsid w:val="00126D98"/>
    <w:rsid w:val="00127BE1"/>
    <w:rsid w:val="0013029C"/>
    <w:rsid w:val="001305CD"/>
    <w:rsid w:val="00130BA7"/>
    <w:rsid w:val="00131BF9"/>
    <w:rsid w:val="00131E56"/>
    <w:rsid w:val="001322CE"/>
    <w:rsid w:val="00133DAD"/>
    <w:rsid w:val="00135884"/>
    <w:rsid w:val="00135B0C"/>
    <w:rsid w:val="00135F94"/>
    <w:rsid w:val="0013622A"/>
    <w:rsid w:val="001366B1"/>
    <w:rsid w:val="00136741"/>
    <w:rsid w:val="00136DA6"/>
    <w:rsid w:val="00136DE3"/>
    <w:rsid w:val="00140106"/>
    <w:rsid w:val="001403C4"/>
    <w:rsid w:val="00140F3B"/>
    <w:rsid w:val="001410FF"/>
    <w:rsid w:val="00141BF4"/>
    <w:rsid w:val="0014256B"/>
    <w:rsid w:val="001426AD"/>
    <w:rsid w:val="00142A2A"/>
    <w:rsid w:val="00143E7D"/>
    <w:rsid w:val="00144686"/>
    <w:rsid w:val="00145ED1"/>
    <w:rsid w:val="001467C2"/>
    <w:rsid w:val="00146806"/>
    <w:rsid w:val="00146B92"/>
    <w:rsid w:val="00147CC3"/>
    <w:rsid w:val="00147E2D"/>
    <w:rsid w:val="00150537"/>
    <w:rsid w:val="0015094E"/>
    <w:rsid w:val="00150A19"/>
    <w:rsid w:val="00150F0B"/>
    <w:rsid w:val="00150FB3"/>
    <w:rsid w:val="0015170C"/>
    <w:rsid w:val="00152BF9"/>
    <w:rsid w:val="00152E88"/>
    <w:rsid w:val="00153365"/>
    <w:rsid w:val="001553A8"/>
    <w:rsid w:val="00160AE6"/>
    <w:rsid w:val="001616D9"/>
    <w:rsid w:val="001623D3"/>
    <w:rsid w:val="00163475"/>
    <w:rsid w:val="0016367A"/>
    <w:rsid w:val="00163AEF"/>
    <w:rsid w:val="00163EDA"/>
    <w:rsid w:val="00163F91"/>
    <w:rsid w:val="00164AA1"/>
    <w:rsid w:val="001661FB"/>
    <w:rsid w:val="001665B0"/>
    <w:rsid w:val="0016730C"/>
    <w:rsid w:val="00167334"/>
    <w:rsid w:val="00167858"/>
    <w:rsid w:val="00170154"/>
    <w:rsid w:val="001704DB"/>
    <w:rsid w:val="0017060C"/>
    <w:rsid w:val="00170C89"/>
    <w:rsid w:val="00170F0E"/>
    <w:rsid w:val="0017199C"/>
    <w:rsid w:val="00172004"/>
    <w:rsid w:val="001729A2"/>
    <w:rsid w:val="00172BD8"/>
    <w:rsid w:val="00172EBD"/>
    <w:rsid w:val="00177FBC"/>
    <w:rsid w:val="00181631"/>
    <w:rsid w:val="00181FB6"/>
    <w:rsid w:val="0018444C"/>
    <w:rsid w:val="00184FC4"/>
    <w:rsid w:val="0018531B"/>
    <w:rsid w:val="00185F90"/>
    <w:rsid w:val="0018641A"/>
    <w:rsid w:val="00186F3E"/>
    <w:rsid w:val="00187D39"/>
    <w:rsid w:val="00190AC0"/>
    <w:rsid w:val="00190DFF"/>
    <w:rsid w:val="00192A2C"/>
    <w:rsid w:val="00192D0E"/>
    <w:rsid w:val="001933BD"/>
    <w:rsid w:val="001939D3"/>
    <w:rsid w:val="00193AC8"/>
    <w:rsid w:val="00194066"/>
    <w:rsid w:val="00194745"/>
    <w:rsid w:val="001959FE"/>
    <w:rsid w:val="00197601"/>
    <w:rsid w:val="00197635"/>
    <w:rsid w:val="00197703"/>
    <w:rsid w:val="001A0191"/>
    <w:rsid w:val="001A08AF"/>
    <w:rsid w:val="001A26BF"/>
    <w:rsid w:val="001A331C"/>
    <w:rsid w:val="001A33C3"/>
    <w:rsid w:val="001A3701"/>
    <w:rsid w:val="001A568B"/>
    <w:rsid w:val="001A5AB2"/>
    <w:rsid w:val="001A6714"/>
    <w:rsid w:val="001A6F24"/>
    <w:rsid w:val="001A7235"/>
    <w:rsid w:val="001A79EA"/>
    <w:rsid w:val="001B0E41"/>
    <w:rsid w:val="001B101E"/>
    <w:rsid w:val="001B10F8"/>
    <w:rsid w:val="001B1953"/>
    <w:rsid w:val="001B1E4B"/>
    <w:rsid w:val="001B1FF0"/>
    <w:rsid w:val="001B3A21"/>
    <w:rsid w:val="001B41DD"/>
    <w:rsid w:val="001B444F"/>
    <w:rsid w:val="001B4DE1"/>
    <w:rsid w:val="001B4E5C"/>
    <w:rsid w:val="001B54EB"/>
    <w:rsid w:val="001B590B"/>
    <w:rsid w:val="001B6C99"/>
    <w:rsid w:val="001B6D92"/>
    <w:rsid w:val="001B6F30"/>
    <w:rsid w:val="001B77BD"/>
    <w:rsid w:val="001B7E66"/>
    <w:rsid w:val="001B7F6C"/>
    <w:rsid w:val="001C0AEE"/>
    <w:rsid w:val="001C1924"/>
    <w:rsid w:val="001C1D9B"/>
    <w:rsid w:val="001C21F6"/>
    <w:rsid w:val="001C25B6"/>
    <w:rsid w:val="001C2E6F"/>
    <w:rsid w:val="001C3D11"/>
    <w:rsid w:val="001C48BC"/>
    <w:rsid w:val="001C4B15"/>
    <w:rsid w:val="001C5475"/>
    <w:rsid w:val="001C5D89"/>
    <w:rsid w:val="001C5D8C"/>
    <w:rsid w:val="001C660D"/>
    <w:rsid w:val="001C7C08"/>
    <w:rsid w:val="001D0173"/>
    <w:rsid w:val="001D05EE"/>
    <w:rsid w:val="001D07D7"/>
    <w:rsid w:val="001D1A3E"/>
    <w:rsid w:val="001D2242"/>
    <w:rsid w:val="001D253C"/>
    <w:rsid w:val="001D4414"/>
    <w:rsid w:val="001D46DC"/>
    <w:rsid w:val="001D58A0"/>
    <w:rsid w:val="001D5B86"/>
    <w:rsid w:val="001D5EED"/>
    <w:rsid w:val="001D7C14"/>
    <w:rsid w:val="001E1F01"/>
    <w:rsid w:val="001E3750"/>
    <w:rsid w:val="001E3A5F"/>
    <w:rsid w:val="001E43E7"/>
    <w:rsid w:val="001E4968"/>
    <w:rsid w:val="001E4A5B"/>
    <w:rsid w:val="001E6B7A"/>
    <w:rsid w:val="001E6FC5"/>
    <w:rsid w:val="001F0742"/>
    <w:rsid w:val="001F12F7"/>
    <w:rsid w:val="001F180F"/>
    <w:rsid w:val="001F2EB8"/>
    <w:rsid w:val="001F41E9"/>
    <w:rsid w:val="001F5270"/>
    <w:rsid w:val="001F537B"/>
    <w:rsid w:val="001F5642"/>
    <w:rsid w:val="001F576F"/>
    <w:rsid w:val="001F58ED"/>
    <w:rsid w:val="001F6BE1"/>
    <w:rsid w:val="001F6E45"/>
    <w:rsid w:val="001F750E"/>
    <w:rsid w:val="001F7576"/>
    <w:rsid w:val="001F79B4"/>
    <w:rsid w:val="00202960"/>
    <w:rsid w:val="0020365A"/>
    <w:rsid w:val="002038E8"/>
    <w:rsid w:val="00204014"/>
    <w:rsid w:val="00204284"/>
    <w:rsid w:val="00204287"/>
    <w:rsid w:val="00204D10"/>
    <w:rsid w:val="00204DEB"/>
    <w:rsid w:val="00204F24"/>
    <w:rsid w:val="0020593E"/>
    <w:rsid w:val="002073F0"/>
    <w:rsid w:val="0020767E"/>
    <w:rsid w:val="00207B46"/>
    <w:rsid w:val="00207C57"/>
    <w:rsid w:val="00207E16"/>
    <w:rsid w:val="00210E60"/>
    <w:rsid w:val="00212031"/>
    <w:rsid w:val="00216291"/>
    <w:rsid w:val="00217706"/>
    <w:rsid w:val="0022062F"/>
    <w:rsid w:val="00222336"/>
    <w:rsid w:val="00222B4C"/>
    <w:rsid w:val="00223FA5"/>
    <w:rsid w:val="00224064"/>
    <w:rsid w:val="0022492B"/>
    <w:rsid w:val="00224ED2"/>
    <w:rsid w:val="0022505E"/>
    <w:rsid w:val="00226C57"/>
    <w:rsid w:val="00226D22"/>
    <w:rsid w:val="0022707C"/>
    <w:rsid w:val="0023049E"/>
    <w:rsid w:val="002304F2"/>
    <w:rsid w:val="002305D5"/>
    <w:rsid w:val="002312BA"/>
    <w:rsid w:val="00231D40"/>
    <w:rsid w:val="00233579"/>
    <w:rsid w:val="002342C1"/>
    <w:rsid w:val="002343C9"/>
    <w:rsid w:val="002344A4"/>
    <w:rsid w:val="0023452F"/>
    <w:rsid w:val="00234B94"/>
    <w:rsid w:val="00234CD9"/>
    <w:rsid w:val="002350E0"/>
    <w:rsid w:val="00235C4E"/>
    <w:rsid w:val="00235D5E"/>
    <w:rsid w:val="00235EC3"/>
    <w:rsid w:val="00235ED0"/>
    <w:rsid w:val="0023725B"/>
    <w:rsid w:val="002374C6"/>
    <w:rsid w:val="002376CC"/>
    <w:rsid w:val="00237717"/>
    <w:rsid w:val="00237EBB"/>
    <w:rsid w:val="00240C2A"/>
    <w:rsid w:val="00241686"/>
    <w:rsid w:val="00241CBE"/>
    <w:rsid w:val="00241EF2"/>
    <w:rsid w:val="00242476"/>
    <w:rsid w:val="00242597"/>
    <w:rsid w:val="00242E78"/>
    <w:rsid w:val="00242FBC"/>
    <w:rsid w:val="0024307E"/>
    <w:rsid w:val="002430C6"/>
    <w:rsid w:val="00245182"/>
    <w:rsid w:val="00245828"/>
    <w:rsid w:val="002505B9"/>
    <w:rsid w:val="00250665"/>
    <w:rsid w:val="00251393"/>
    <w:rsid w:val="002521E1"/>
    <w:rsid w:val="0025278C"/>
    <w:rsid w:val="00252A02"/>
    <w:rsid w:val="00252D8C"/>
    <w:rsid w:val="00253548"/>
    <w:rsid w:val="00253634"/>
    <w:rsid w:val="002538E7"/>
    <w:rsid w:val="00254FBB"/>
    <w:rsid w:val="00255869"/>
    <w:rsid w:val="002602EC"/>
    <w:rsid w:val="00260587"/>
    <w:rsid w:val="002615B6"/>
    <w:rsid w:val="00261733"/>
    <w:rsid w:val="00261B75"/>
    <w:rsid w:val="00262733"/>
    <w:rsid w:val="002629B3"/>
    <w:rsid w:val="00262B4C"/>
    <w:rsid w:val="00263A9F"/>
    <w:rsid w:val="00265CB1"/>
    <w:rsid w:val="00270513"/>
    <w:rsid w:val="0027082C"/>
    <w:rsid w:val="00270D1D"/>
    <w:rsid w:val="00271E7B"/>
    <w:rsid w:val="00272708"/>
    <w:rsid w:val="002740CB"/>
    <w:rsid w:val="00274635"/>
    <w:rsid w:val="002762A7"/>
    <w:rsid w:val="00276843"/>
    <w:rsid w:val="00277AF6"/>
    <w:rsid w:val="00277C75"/>
    <w:rsid w:val="00280E3B"/>
    <w:rsid w:val="002813B8"/>
    <w:rsid w:val="00281FBC"/>
    <w:rsid w:val="00283CCE"/>
    <w:rsid w:val="002849AC"/>
    <w:rsid w:val="002854ED"/>
    <w:rsid w:val="002857F6"/>
    <w:rsid w:val="00285CA3"/>
    <w:rsid w:val="00286A91"/>
    <w:rsid w:val="002875E4"/>
    <w:rsid w:val="0029107F"/>
    <w:rsid w:val="002911CC"/>
    <w:rsid w:val="00291C31"/>
    <w:rsid w:val="00291C36"/>
    <w:rsid w:val="00291FF8"/>
    <w:rsid w:val="00292B1F"/>
    <w:rsid w:val="00292D2B"/>
    <w:rsid w:val="00294227"/>
    <w:rsid w:val="0029477C"/>
    <w:rsid w:val="002949B9"/>
    <w:rsid w:val="00295071"/>
    <w:rsid w:val="00295F80"/>
    <w:rsid w:val="00296C2D"/>
    <w:rsid w:val="00296F0C"/>
    <w:rsid w:val="00296FB8"/>
    <w:rsid w:val="002971DF"/>
    <w:rsid w:val="002A0970"/>
    <w:rsid w:val="002A1C16"/>
    <w:rsid w:val="002A29B6"/>
    <w:rsid w:val="002A2D49"/>
    <w:rsid w:val="002A3C67"/>
    <w:rsid w:val="002A3CB3"/>
    <w:rsid w:val="002A5031"/>
    <w:rsid w:val="002A53DF"/>
    <w:rsid w:val="002A564C"/>
    <w:rsid w:val="002A6857"/>
    <w:rsid w:val="002A6876"/>
    <w:rsid w:val="002A6932"/>
    <w:rsid w:val="002B01BD"/>
    <w:rsid w:val="002B1E47"/>
    <w:rsid w:val="002B1FC3"/>
    <w:rsid w:val="002B64FF"/>
    <w:rsid w:val="002B6918"/>
    <w:rsid w:val="002B71CC"/>
    <w:rsid w:val="002B78DF"/>
    <w:rsid w:val="002C0DA8"/>
    <w:rsid w:val="002C20AF"/>
    <w:rsid w:val="002C2607"/>
    <w:rsid w:val="002C3421"/>
    <w:rsid w:val="002C355B"/>
    <w:rsid w:val="002C3886"/>
    <w:rsid w:val="002C3CF2"/>
    <w:rsid w:val="002C69B9"/>
    <w:rsid w:val="002C7C69"/>
    <w:rsid w:val="002D033C"/>
    <w:rsid w:val="002D03E0"/>
    <w:rsid w:val="002D0CE2"/>
    <w:rsid w:val="002D13A8"/>
    <w:rsid w:val="002D1461"/>
    <w:rsid w:val="002D2E3E"/>
    <w:rsid w:val="002D3ECE"/>
    <w:rsid w:val="002D3F7F"/>
    <w:rsid w:val="002D4EFC"/>
    <w:rsid w:val="002D54CE"/>
    <w:rsid w:val="002D54F7"/>
    <w:rsid w:val="002D55FA"/>
    <w:rsid w:val="002D656C"/>
    <w:rsid w:val="002D67A9"/>
    <w:rsid w:val="002D7935"/>
    <w:rsid w:val="002E0D31"/>
    <w:rsid w:val="002E25D4"/>
    <w:rsid w:val="002E32CE"/>
    <w:rsid w:val="002E33E7"/>
    <w:rsid w:val="002E39DD"/>
    <w:rsid w:val="002E514D"/>
    <w:rsid w:val="002E52A6"/>
    <w:rsid w:val="002E690E"/>
    <w:rsid w:val="002E6C2E"/>
    <w:rsid w:val="002E7D77"/>
    <w:rsid w:val="002F0475"/>
    <w:rsid w:val="002F0B5F"/>
    <w:rsid w:val="002F1A63"/>
    <w:rsid w:val="002F1FF2"/>
    <w:rsid w:val="002F22ED"/>
    <w:rsid w:val="002F2F42"/>
    <w:rsid w:val="002F3679"/>
    <w:rsid w:val="002F4410"/>
    <w:rsid w:val="002F4A77"/>
    <w:rsid w:val="002F5A73"/>
    <w:rsid w:val="002F63BF"/>
    <w:rsid w:val="002F689A"/>
    <w:rsid w:val="002F6DAD"/>
    <w:rsid w:val="002F71D1"/>
    <w:rsid w:val="002F794A"/>
    <w:rsid w:val="002F7B3D"/>
    <w:rsid w:val="003005ED"/>
    <w:rsid w:val="00300D4C"/>
    <w:rsid w:val="00300EAB"/>
    <w:rsid w:val="00301AF4"/>
    <w:rsid w:val="003022EA"/>
    <w:rsid w:val="0030254C"/>
    <w:rsid w:val="003034CD"/>
    <w:rsid w:val="00304CB3"/>
    <w:rsid w:val="00305F91"/>
    <w:rsid w:val="003064B6"/>
    <w:rsid w:val="00306A1B"/>
    <w:rsid w:val="00307C8B"/>
    <w:rsid w:val="00307CE5"/>
    <w:rsid w:val="0031009A"/>
    <w:rsid w:val="003101D0"/>
    <w:rsid w:val="00310974"/>
    <w:rsid w:val="00310CE3"/>
    <w:rsid w:val="00311765"/>
    <w:rsid w:val="0031211C"/>
    <w:rsid w:val="003125B2"/>
    <w:rsid w:val="003125E7"/>
    <w:rsid w:val="00312F2D"/>
    <w:rsid w:val="00314813"/>
    <w:rsid w:val="00314EE4"/>
    <w:rsid w:val="00316DFF"/>
    <w:rsid w:val="00317FC3"/>
    <w:rsid w:val="00320C8E"/>
    <w:rsid w:val="00320FF9"/>
    <w:rsid w:val="00322219"/>
    <w:rsid w:val="00322C7C"/>
    <w:rsid w:val="00323066"/>
    <w:rsid w:val="00324C82"/>
    <w:rsid w:val="00325105"/>
    <w:rsid w:val="00325719"/>
    <w:rsid w:val="00327990"/>
    <w:rsid w:val="00327EAE"/>
    <w:rsid w:val="003305B1"/>
    <w:rsid w:val="00330C32"/>
    <w:rsid w:val="00330E24"/>
    <w:rsid w:val="00331791"/>
    <w:rsid w:val="00331C5F"/>
    <w:rsid w:val="003337A6"/>
    <w:rsid w:val="00333CB2"/>
    <w:rsid w:val="003352D8"/>
    <w:rsid w:val="00335C74"/>
    <w:rsid w:val="00336119"/>
    <w:rsid w:val="00337C90"/>
    <w:rsid w:val="00341883"/>
    <w:rsid w:val="0034192F"/>
    <w:rsid w:val="003431AC"/>
    <w:rsid w:val="003445B0"/>
    <w:rsid w:val="00345899"/>
    <w:rsid w:val="00345F07"/>
    <w:rsid w:val="003467CC"/>
    <w:rsid w:val="00346B10"/>
    <w:rsid w:val="00346B94"/>
    <w:rsid w:val="00346E2A"/>
    <w:rsid w:val="0034705F"/>
    <w:rsid w:val="0034727F"/>
    <w:rsid w:val="00347AFB"/>
    <w:rsid w:val="00347E44"/>
    <w:rsid w:val="003503BA"/>
    <w:rsid w:val="00350647"/>
    <w:rsid w:val="00350E5F"/>
    <w:rsid w:val="00352084"/>
    <w:rsid w:val="0035284E"/>
    <w:rsid w:val="00354629"/>
    <w:rsid w:val="00354918"/>
    <w:rsid w:val="00355CD8"/>
    <w:rsid w:val="00361249"/>
    <w:rsid w:val="003623D4"/>
    <w:rsid w:val="00362D96"/>
    <w:rsid w:val="00363125"/>
    <w:rsid w:val="003637A0"/>
    <w:rsid w:val="003638C6"/>
    <w:rsid w:val="00363B40"/>
    <w:rsid w:val="00363C5F"/>
    <w:rsid w:val="00364226"/>
    <w:rsid w:val="003642AE"/>
    <w:rsid w:val="003642C2"/>
    <w:rsid w:val="00364D8E"/>
    <w:rsid w:val="003650DB"/>
    <w:rsid w:val="003653BE"/>
    <w:rsid w:val="00367225"/>
    <w:rsid w:val="00367847"/>
    <w:rsid w:val="0037038C"/>
    <w:rsid w:val="003707C6"/>
    <w:rsid w:val="00370E70"/>
    <w:rsid w:val="00371103"/>
    <w:rsid w:val="003716A5"/>
    <w:rsid w:val="00371E62"/>
    <w:rsid w:val="00372212"/>
    <w:rsid w:val="00372F12"/>
    <w:rsid w:val="00373B13"/>
    <w:rsid w:val="00374041"/>
    <w:rsid w:val="00374574"/>
    <w:rsid w:val="00374A93"/>
    <w:rsid w:val="00374F85"/>
    <w:rsid w:val="003752CE"/>
    <w:rsid w:val="003758E9"/>
    <w:rsid w:val="00375F7D"/>
    <w:rsid w:val="00376DC5"/>
    <w:rsid w:val="003770F7"/>
    <w:rsid w:val="00381255"/>
    <w:rsid w:val="003814C0"/>
    <w:rsid w:val="00381EE2"/>
    <w:rsid w:val="003820D5"/>
    <w:rsid w:val="00383032"/>
    <w:rsid w:val="003835A6"/>
    <w:rsid w:val="00383D2B"/>
    <w:rsid w:val="003848EE"/>
    <w:rsid w:val="00384A9E"/>
    <w:rsid w:val="00384AF8"/>
    <w:rsid w:val="003858E2"/>
    <w:rsid w:val="00385D6F"/>
    <w:rsid w:val="00385EA3"/>
    <w:rsid w:val="0038635B"/>
    <w:rsid w:val="003863F6"/>
    <w:rsid w:val="00386632"/>
    <w:rsid w:val="00386996"/>
    <w:rsid w:val="00386A90"/>
    <w:rsid w:val="00386DEA"/>
    <w:rsid w:val="00387363"/>
    <w:rsid w:val="0038738A"/>
    <w:rsid w:val="00387BBA"/>
    <w:rsid w:val="0039059B"/>
    <w:rsid w:val="00390C11"/>
    <w:rsid w:val="0039109C"/>
    <w:rsid w:val="00392B04"/>
    <w:rsid w:val="003935AC"/>
    <w:rsid w:val="003941CC"/>
    <w:rsid w:val="00394838"/>
    <w:rsid w:val="00394840"/>
    <w:rsid w:val="00395A66"/>
    <w:rsid w:val="0039778F"/>
    <w:rsid w:val="00397B3B"/>
    <w:rsid w:val="00397BA0"/>
    <w:rsid w:val="003A097C"/>
    <w:rsid w:val="003A0FF7"/>
    <w:rsid w:val="003A1425"/>
    <w:rsid w:val="003A42CC"/>
    <w:rsid w:val="003A462A"/>
    <w:rsid w:val="003A5292"/>
    <w:rsid w:val="003A5847"/>
    <w:rsid w:val="003A5878"/>
    <w:rsid w:val="003A6190"/>
    <w:rsid w:val="003A64EE"/>
    <w:rsid w:val="003A67F2"/>
    <w:rsid w:val="003B0417"/>
    <w:rsid w:val="003B0FF8"/>
    <w:rsid w:val="003B18FB"/>
    <w:rsid w:val="003B207B"/>
    <w:rsid w:val="003B323A"/>
    <w:rsid w:val="003B3A88"/>
    <w:rsid w:val="003B445D"/>
    <w:rsid w:val="003B4AD2"/>
    <w:rsid w:val="003B7465"/>
    <w:rsid w:val="003B7685"/>
    <w:rsid w:val="003B7F24"/>
    <w:rsid w:val="003C0252"/>
    <w:rsid w:val="003C0BBF"/>
    <w:rsid w:val="003C0D92"/>
    <w:rsid w:val="003C1DDD"/>
    <w:rsid w:val="003C4AA7"/>
    <w:rsid w:val="003C52C6"/>
    <w:rsid w:val="003C52DE"/>
    <w:rsid w:val="003D0370"/>
    <w:rsid w:val="003D099D"/>
    <w:rsid w:val="003D0E98"/>
    <w:rsid w:val="003D1E4B"/>
    <w:rsid w:val="003D2073"/>
    <w:rsid w:val="003D2437"/>
    <w:rsid w:val="003D2B3E"/>
    <w:rsid w:val="003D2E5C"/>
    <w:rsid w:val="003D30EF"/>
    <w:rsid w:val="003D323F"/>
    <w:rsid w:val="003D3831"/>
    <w:rsid w:val="003D3E52"/>
    <w:rsid w:val="003D437F"/>
    <w:rsid w:val="003D4EC6"/>
    <w:rsid w:val="003D6A04"/>
    <w:rsid w:val="003D6C63"/>
    <w:rsid w:val="003E116E"/>
    <w:rsid w:val="003E301A"/>
    <w:rsid w:val="003E33F4"/>
    <w:rsid w:val="003E34C3"/>
    <w:rsid w:val="003E43C8"/>
    <w:rsid w:val="003E4431"/>
    <w:rsid w:val="003E47DE"/>
    <w:rsid w:val="003E6C2E"/>
    <w:rsid w:val="003E6CE5"/>
    <w:rsid w:val="003E74C6"/>
    <w:rsid w:val="003E7C77"/>
    <w:rsid w:val="003E7F6D"/>
    <w:rsid w:val="003F1104"/>
    <w:rsid w:val="003F136E"/>
    <w:rsid w:val="003F1847"/>
    <w:rsid w:val="003F1F62"/>
    <w:rsid w:val="003F2061"/>
    <w:rsid w:val="003F238B"/>
    <w:rsid w:val="003F34B8"/>
    <w:rsid w:val="003F3683"/>
    <w:rsid w:val="003F3AB1"/>
    <w:rsid w:val="003F3D09"/>
    <w:rsid w:val="003F536D"/>
    <w:rsid w:val="003F66BE"/>
    <w:rsid w:val="0040059C"/>
    <w:rsid w:val="004007E5"/>
    <w:rsid w:val="00401037"/>
    <w:rsid w:val="0040272E"/>
    <w:rsid w:val="0040289F"/>
    <w:rsid w:val="00402C52"/>
    <w:rsid w:val="00403DF7"/>
    <w:rsid w:val="00404704"/>
    <w:rsid w:val="00406597"/>
    <w:rsid w:val="004065A1"/>
    <w:rsid w:val="0040674B"/>
    <w:rsid w:val="00406BDE"/>
    <w:rsid w:val="004073D9"/>
    <w:rsid w:val="004101C4"/>
    <w:rsid w:val="00411121"/>
    <w:rsid w:val="0041182B"/>
    <w:rsid w:val="00412636"/>
    <w:rsid w:val="0041346F"/>
    <w:rsid w:val="004144CF"/>
    <w:rsid w:val="00414538"/>
    <w:rsid w:val="004153FB"/>
    <w:rsid w:val="00417A66"/>
    <w:rsid w:val="00417D1C"/>
    <w:rsid w:val="00420E9D"/>
    <w:rsid w:val="00421EE5"/>
    <w:rsid w:val="00422840"/>
    <w:rsid w:val="00423383"/>
    <w:rsid w:val="0042434D"/>
    <w:rsid w:val="00424F4B"/>
    <w:rsid w:val="004256FB"/>
    <w:rsid w:val="00425B62"/>
    <w:rsid w:val="00425E02"/>
    <w:rsid w:val="0042649C"/>
    <w:rsid w:val="00426570"/>
    <w:rsid w:val="00426A2A"/>
    <w:rsid w:val="00427B7D"/>
    <w:rsid w:val="00427E2B"/>
    <w:rsid w:val="004305CD"/>
    <w:rsid w:val="00430893"/>
    <w:rsid w:val="0043109A"/>
    <w:rsid w:val="004322B5"/>
    <w:rsid w:val="00434233"/>
    <w:rsid w:val="004353A2"/>
    <w:rsid w:val="0043557E"/>
    <w:rsid w:val="00437EFD"/>
    <w:rsid w:val="00437F17"/>
    <w:rsid w:val="0044019B"/>
    <w:rsid w:val="0044043C"/>
    <w:rsid w:val="004408BF"/>
    <w:rsid w:val="004409A8"/>
    <w:rsid w:val="00440E8C"/>
    <w:rsid w:val="0044132E"/>
    <w:rsid w:val="00442DC3"/>
    <w:rsid w:val="004446AA"/>
    <w:rsid w:val="004453A9"/>
    <w:rsid w:val="004465B2"/>
    <w:rsid w:val="00446A0B"/>
    <w:rsid w:val="00446F25"/>
    <w:rsid w:val="00447EF0"/>
    <w:rsid w:val="0045014F"/>
    <w:rsid w:val="00450560"/>
    <w:rsid w:val="0045087B"/>
    <w:rsid w:val="00450C12"/>
    <w:rsid w:val="00453E1F"/>
    <w:rsid w:val="00454646"/>
    <w:rsid w:val="00454BB0"/>
    <w:rsid w:val="00455545"/>
    <w:rsid w:val="0045649A"/>
    <w:rsid w:val="00457881"/>
    <w:rsid w:val="00460141"/>
    <w:rsid w:val="00460222"/>
    <w:rsid w:val="00461E1C"/>
    <w:rsid w:val="00463687"/>
    <w:rsid w:val="00463990"/>
    <w:rsid w:val="004639ED"/>
    <w:rsid w:val="00463CDB"/>
    <w:rsid w:val="00464778"/>
    <w:rsid w:val="00465CA2"/>
    <w:rsid w:val="0046664B"/>
    <w:rsid w:val="0046779B"/>
    <w:rsid w:val="004707AB"/>
    <w:rsid w:val="00470E08"/>
    <w:rsid w:val="00471255"/>
    <w:rsid w:val="00472A31"/>
    <w:rsid w:val="00473197"/>
    <w:rsid w:val="0047381A"/>
    <w:rsid w:val="0047399A"/>
    <w:rsid w:val="004754A2"/>
    <w:rsid w:val="004757C4"/>
    <w:rsid w:val="00476441"/>
    <w:rsid w:val="00477B05"/>
    <w:rsid w:val="00480572"/>
    <w:rsid w:val="00480E9D"/>
    <w:rsid w:val="00483C87"/>
    <w:rsid w:val="0048526F"/>
    <w:rsid w:val="00485F45"/>
    <w:rsid w:val="00486605"/>
    <w:rsid w:val="00486A55"/>
    <w:rsid w:val="00486B7D"/>
    <w:rsid w:val="00487881"/>
    <w:rsid w:val="00487D79"/>
    <w:rsid w:val="00490825"/>
    <w:rsid w:val="00490D0E"/>
    <w:rsid w:val="004916DB"/>
    <w:rsid w:val="00491C65"/>
    <w:rsid w:val="004928C5"/>
    <w:rsid w:val="00493F3A"/>
    <w:rsid w:val="00494B11"/>
    <w:rsid w:val="00494FEF"/>
    <w:rsid w:val="004953A6"/>
    <w:rsid w:val="00495809"/>
    <w:rsid w:val="004958C7"/>
    <w:rsid w:val="00497806"/>
    <w:rsid w:val="00497E18"/>
    <w:rsid w:val="004A116B"/>
    <w:rsid w:val="004A1411"/>
    <w:rsid w:val="004A2268"/>
    <w:rsid w:val="004A252C"/>
    <w:rsid w:val="004A266A"/>
    <w:rsid w:val="004A32BE"/>
    <w:rsid w:val="004A379A"/>
    <w:rsid w:val="004A41B4"/>
    <w:rsid w:val="004A69E8"/>
    <w:rsid w:val="004A73DC"/>
    <w:rsid w:val="004B0A26"/>
    <w:rsid w:val="004B2CA6"/>
    <w:rsid w:val="004B417C"/>
    <w:rsid w:val="004B4BB8"/>
    <w:rsid w:val="004B718A"/>
    <w:rsid w:val="004B7BDA"/>
    <w:rsid w:val="004B7DD8"/>
    <w:rsid w:val="004C1DFD"/>
    <w:rsid w:val="004C2314"/>
    <w:rsid w:val="004C273F"/>
    <w:rsid w:val="004C2F17"/>
    <w:rsid w:val="004C314F"/>
    <w:rsid w:val="004C349D"/>
    <w:rsid w:val="004C385B"/>
    <w:rsid w:val="004C4390"/>
    <w:rsid w:val="004C4921"/>
    <w:rsid w:val="004C5595"/>
    <w:rsid w:val="004C6593"/>
    <w:rsid w:val="004C6A32"/>
    <w:rsid w:val="004C6CF9"/>
    <w:rsid w:val="004C7664"/>
    <w:rsid w:val="004D054D"/>
    <w:rsid w:val="004D0B8B"/>
    <w:rsid w:val="004D13E6"/>
    <w:rsid w:val="004D25FA"/>
    <w:rsid w:val="004D2AB5"/>
    <w:rsid w:val="004D2D4E"/>
    <w:rsid w:val="004D3A35"/>
    <w:rsid w:val="004D5AAA"/>
    <w:rsid w:val="004D65DD"/>
    <w:rsid w:val="004D709B"/>
    <w:rsid w:val="004D74B1"/>
    <w:rsid w:val="004E0007"/>
    <w:rsid w:val="004E02A9"/>
    <w:rsid w:val="004E0658"/>
    <w:rsid w:val="004E09BC"/>
    <w:rsid w:val="004E1739"/>
    <w:rsid w:val="004E1B85"/>
    <w:rsid w:val="004E1D0E"/>
    <w:rsid w:val="004E1EF5"/>
    <w:rsid w:val="004E3901"/>
    <w:rsid w:val="004E3B67"/>
    <w:rsid w:val="004E3FF5"/>
    <w:rsid w:val="004E4084"/>
    <w:rsid w:val="004E50C2"/>
    <w:rsid w:val="004E5416"/>
    <w:rsid w:val="004E5600"/>
    <w:rsid w:val="004E5735"/>
    <w:rsid w:val="004E57B2"/>
    <w:rsid w:val="004E5BDA"/>
    <w:rsid w:val="004E5F37"/>
    <w:rsid w:val="004E6E23"/>
    <w:rsid w:val="004E74E3"/>
    <w:rsid w:val="004E7502"/>
    <w:rsid w:val="004F01B9"/>
    <w:rsid w:val="004F02DF"/>
    <w:rsid w:val="004F1288"/>
    <w:rsid w:val="004F1296"/>
    <w:rsid w:val="004F1BDA"/>
    <w:rsid w:val="004F2465"/>
    <w:rsid w:val="004F24E8"/>
    <w:rsid w:val="004F2619"/>
    <w:rsid w:val="004F421F"/>
    <w:rsid w:val="004F529A"/>
    <w:rsid w:val="004F5B82"/>
    <w:rsid w:val="004F6C74"/>
    <w:rsid w:val="004F757C"/>
    <w:rsid w:val="004F77FD"/>
    <w:rsid w:val="004F78E4"/>
    <w:rsid w:val="004F7ADD"/>
    <w:rsid w:val="00500928"/>
    <w:rsid w:val="00500CE9"/>
    <w:rsid w:val="00501F70"/>
    <w:rsid w:val="0050263D"/>
    <w:rsid w:val="00502CCA"/>
    <w:rsid w:val="0050355D"/>
    <w:rsid w:val="00503FE4"/>
    <w:rsid w:val="00504609"/>
    <w:rsid w:val="005073B4"/>
    <w:rsid w:val="00507BEE"/>
    <w:rsid w:val="00511457"/>
    <w:rsid w:val="00511A86"/>
    <w:rsid w:val="00513069"/>
    <w:rsid w:val="0051306A"/>
    <w:rsid w:val="0051396B"/>
    <w:rsid w:val="005139A5"/>
    <w:rsid w:val="0051428F"/>
    <w:rsid w:val="00516355"/>
    <w:rsid w:val="0051690F"/>
    <w:rsid w:val="00516F84"/>
    <w:rsid w:val="005171E7"/>
    <w:rsid w:val="00517908"/>
    <w:rsid w:val="00517FA3"/>
    <w:rsid w:val="005207B2"/>
    <w:rsid w:val="00520C10"/>
    <w:rsid w:val="00522708"/>
    <w:rsid w:val="0052369C"/>
    <w:rsid w:val="00523C51"/>
    <w:rsid w:val="00524305"/>
    <w:rsid w:val="00524454"/>
    <w:rsid w:val="0052455C"/>
    <w:rsid w:val="00525BC5"/>
    <w:rsid w:val="0052672A"/>
    <w:rsid w:val="005268A3"/>
    <w:rsid w:val="005303B6"/>
    <w:rsid w:val="00533425"/>
    <w:rsid w:val="0053495E"/>
    <w:rsid w:val="00537613"/>
    <w:rsid w:val="00537E45"/>
    <w:rsid w:val="005408B6"/>
    <w:rsid w:val="0054111C"/>
    <w:rsid w:val="00541612"/>
    <w:rsid w:val="00541DD7"/>
    <w:rsid w:val="00545269"/>
    <w:rsid w:val="00546172"/>
    <w:rsid w:val="00546B6C"/>
    <w:rsid w:val="0055197E"/>
    <w:rsid w:val="00551FDA"/>
    <w:rsid w:val="0055372A"/>
    <w:rsid w:val="00553AB9"/>
    <w:rsid w:val="00553EEB"/>
    <w:rsid w:val="0055639D"/>
    <w:rsid w:val="00556DB4"/>
    <w:rsid w:val="00557747"/>
    <w:rsid w:val="005600C3"/>
    <w:rsid w:val="00560B71"/>
    <w:rsid w:val="00561BF5"/>
    <w:rsid w:val="005622DF"/>
    <w:rsid w:val="00562A34"/>
    <w:rsid w:val="00562E16"/>
    <w:rsid w:val="00564B81"/>
    <w:rsid w:val="00565BBA"/>
    <w:rsid w:val="00566253"/>
    <w:rsid w:val="00571AF3"/>
    <w:rsid w:val="005722A3"/>
    <w:rsid w:val="00572B6F"/>
    <w:rsid w:val="00574470"/>
    <w:rsid w:val="0057454B"/>
    <w:rsid w:val="00577834"/>
    <w:rsid w:val="00580BAB"/>
    <w:rsid w:val="00581B91"/>
    <w:rsid w:val="00581C44"/>
    <w:rsid w:val="00582A22"/>
    <w:rsid w:val="00583A22"/>
    <w:rsid w:val="00583DE7"/>
    <w:rsid w:val="00583E06"/>
    <w:rsid w:val="00583EF0"/>
    <w:rsid w:val="00586038"/>
    <w:rsid w:val="005861D4"/>
    <w:rsid w:val="005863AF"/>
    <w:rsid w:val="005869BB"/>
    <w:rsid w:val="00586E49"/>
    <w:rsid w:val="005917CC"/>
    <w:rsid w:val="00591E2E"/>
    <w:rsid w:val="0059211C"/>
    <w:rsid w:val="005930EE"/>
    <w:rsid w:val="005941EB"/>
    <w:rsid w:val="00595A5D"/>
    <w:rsid w:val="00595CBC"/>
    <w:rsid w:val="00595E5D"/>
    <w:rsid w:val="00596B7F"/>
    <w:rsid w:val="00597D84"/>
    <w:rsid w:val="005A07DE"/>
    <w:rsid w:val="005A0EDE"/>
    <w:rsid w:val="005A1E13"/>
    <w:rsid w:val="005A207D"/>
    <w:rsid w:val="005A314B"/>
    <w:rsid w:val="005A5EE7"/>
    <w:rsid w:val="005A6F02"/>
    <w:rsid w:val="005A7A59"/>
    <w:rsid w:val="005B0756"/>
    <w:rsid w:val="005B226E"/>
    <w:rsid w:val="005B2427"/>
    <w:rsid w:val="005B2F76"/>
    <w:rsid w:val="005B5056"/>
    <w:rsid w:val="005B619F"/>
    <w:rsid w:val="005B681E"/>
    <w:rsid w:val="005B7696"/>
    <w:rsid w:val="005B7E6E"/>
    <w:rsid w:val="005C0489"/>
    <w:rsid w:val="005C0F77"/>
    <w:rsid w:val="005C2066"/>
    <w:rsid w:val="005C215D"/>
    <w:rsid w:val="005C2AE6"/>
    <w:rsid w:val="005C5D09"/>
    <w:rsid w:val="005C663C"/>
    <w:rsid w:val="005C687E"/>
    <w:rsid w:val="005D0F4D"/>
    <w:rsid w:val="005D188A"/>
    <w:rsid w:val="005D199A"/>
    <w:rsid w:val="005D21B5"/>
    <w:rsid w:val="005D239B"/>
    <w:rsid w:val="005D2CB6"/>
    <w:rsid w:val="005D356C"/>
    <w:rsid w:val="005D362C"/>
    <w:rsid w:val="005D38B1"/>
    <w:rsid w:val="005D3997"/>
    <w:rsid w:val="005D3CAC"/>
    <w:rsid w:val="005D3E01"/>
    <w:rsid w:val="005D3FDD"/>
    <w:rsid w:val="005D408F"/>
    <w:rsid w:val="005D46F7"/>
    <w:rsid w:val="005D483D"/>
    <w:rsid w:val="005D531E"/>
    <w:rsid w:val="005D5EC7"/>
    <w:rsid w:val="005D6B58"/>
    <w:rsid w:val="005D7563"/>
    <w:rsid w:val="005E0CA5"/>
    <w:rsid w:val="005E1E00"/>
    <w:rsid w:val="005E25F5"/>
    <w:rsid w:val="005E30B4"/>
    <w:rsid w:val="005E38C0"/>
    <w:rsid w:val="005E3F4A"/>
    <w:rsid w:val="005E422C"/>
    <w:rsid w:val="005E4E75"/>
    <w:rsid w:val="005E5456"/>
    <w:rsid w:val="005E54DE"/>
    <w:rsid w:val="005E703D"/>
    <w:rsid w:val="005E7044"/>
    <w:rsid w:val="005E7561"/>
    <w:rsid w:val="005E7B42"/>
    <w:rsid w:val="005F03B7"/>
    <w:rsid w:val="005F0B5C"/>
    <w:rsid w:val="005F1B09"/>
    <w:rsid w:val="005F25A4"/>
    <w:rsid w:val="005F5125"/>
    <w:rsid w:val="005F54ED"/>
    <w:rsid w:val="005F62CB"/>
    <w:rsid w:val="005F62EB"/>
    <w:rsid w:val="005F6506"/>
    <w:rsid w:val="005F761A"/>
    <w:rsid w:val="005F7F0B"/>
    <w:rsid w:val="006011FA"/>
    <w:rsid w:val="0060138F"/>
    <w:rsid w:val="00601BBA"/>
    <w:rsid w:val="00601CE3"/>
    <w:rsid w:val="00602621"/>
    <w:rsid w:val="006027DB"/>
    <w:rsid w:val="00603236"/>
    <w:rsid w:val="00603B17"/>
    <w:rsid w:val="00604BA5"/>
    <w:rsid w:val="00605A3F"/>
    <w:rsid w:val="006061F9"/>
    <w:rsid w:val="00611B25"/>
    <w:rsid w:val="00612C4B"/>
    <w:rsid w:val="006132F5"/>
    <w:rsid w:val="00613A4F"/>
    <w:rsid w:val="0061467D"/>
    <w:rsid w:val="00614C82"/>
    <w:rsid w:val="006157D7"/>
    <w:rsid w:val="006169FF"/>
    <w:rsid w:val="00617A15"/>
    <w:rsid w:val="0062023A"/>
    <w:rsid w:val="006213A3"/>
    <w:rsid w:val="00621F75"/>
    <w:rsid w:val="006224F1"/>
    <w:rsid w:val="006234E1"/>
    <w:rsid w:val="006238D3"/>
    <w:rsid w:val="0062400A"/>
    <w:rsid w:val="00625384"/>
    <w:rsid w:val="0062693F"/>
    <w:rsid w:val="00627BC9"/>
    <w:rsid w:val="00630EA8"/>
    <w:rsid w:val="006312A8"/>
    <w:rsid w:val="00632C58"/>
    <w:rsid w:val="00632E0E"/>
    <w:rsid w:val="00633C24"/>
    <w:rsid w:val="0063408A"/>
    <w:rsid w:val="006342A3"/>
    <w:rsid w:val="00634EA6"/>
    <w:rsid w:val="00635378"/>
    <w:rsid w:val="00635458"/>
    <w:rsid w:val="00635ACB"/>
    <w:rsid w:val="00635D83"/>
    <w:rsid w:val="00636F05"/>
    <w:rsid w:val="006379D0"/>
    <w:rsid w:val="006406A9"/>
    <w:rsid w:val="0064133B"/>
    <w:rsid w:val="00642F6F"/>
    <w:rsid w:val="00643CEC"/>
    <w:rsid w:val="00644A9D"/>
    <w:rsid w:val="00646406"/>
    <w:rsid w:val="0064740E"/>
    <w:rsid w:val="00647887"/>
    <w:rsid w:val="00647FF8"/>
    <w:rsid w:val="0065052C"/>
    <w:rsid w:val="00651D8A"/>
    <w:rsid w:val="0065372B"/>
    <w:rsid w:val="006540C2"/>
    <w:rsid w:val="006544EE"/>
    <w:rsid w:val="00655717"/>
    <w:rsid w:val="00660A8C"/>
    <w:rsid w:val="00660FCB"/>
    <w:rsid w:val="0066106B"/>
    <w:rsid w:val="006616DA"/>
    <w:rsid w:val="00661BBA"/>
    <w:rsid w:val="006627A2"/>
    <w:rsid w:val="006629F2"/>
    <w:rsid w:val="006649F9"/>
    <w:rsid w:val="00664C91"/>
    <w:rsid w:val="00665172"/>
    <w:rsid w:val="00665816"/>
    <w:rsid w:val="0066583D"/>
    <w:rsid w:val="0066586F"/>
    <w:rsid w:val="00665FE7"/>
    <w:rsid w:val="006677CB"/>
    <w:rsid w:val="00670692"/>
    <w:rsid w:val="00670B39"/>
    <w:rsid w:val="006713C7"/>
    <w:rsid w:val="00671E68"/>
    <w:rsid w:val="00673006"/>
    <w:rsid w:val="00673219"/>
    <w:rsid w:val="00673CD5"/>
    <w:rsid w:val="00674DF4"/>
    <w:rsid w:val="006750EA"/>
    <w:rsid w:val="006753EB"/>
    <w:rsid w:val="00677B3B"/>
    <w:rsid w:val="00677F3E"/>
    <w:rsid w:val="00680990"/>
    <w:rsid w:val="00680EF3"/>
    <w:rsid w:val="00682BE3"/>
    <w:rsid w:val="0068373D"/>
    <w:rsid w:val="00684AB4"/>
    <w:rsid w:val="00685D13"/>
    <w:rsid w:val="00685D8B"/>
    <w:rsid w:val="00686141"/>
    <w:rsid w:val="006861E2"/>
    <w:rsid w:val="00687162"/>
    <w:rsid w:val="00690634"/>
    <w:rsid w:val="006910BE"/>
    <w:rsid w:val="00691988"/>
    <w:rsid w:val="0069340E"/>
    <w:rsid w:val="006942AE"/>
    <w:rsid w:val="0069463D"/>
    <w:rsid w:val="00694653"/>
    <w:rsid w:val="0069660B"/>
    <w:rsid w:val="00696B07"/>
    <w:rsid w:val="00696D46"/>
    <w:rsid w:val="006A0057"/>
    <w:rsid w:val="006A0545"/>
    <w:rsid w:val="006A07E8"/>
    <w:rsid w:val="006A0BE0"/>
    <w:rsid w:val="006A1109"/>
    <w:rsid w:val="006A1342"/>
    <w:rsid w:val="006A2D10"/>
    <w:rsid w:val="006A2D64"/>
    <w:rsid w:val="006A2DF1"/>
    <w:rsid w:val="006A3023"/>
    <w:rsid w:val="006A32C2"/>
    <w:rsid w:val="006A32C8"/>
    <w:rsid w:val="006A4BAF"/>
    <w:rsid w:val="006A55C6"/>
    <w:rsid w:val="006A5663"/>
    <w:rsid w:val="006A6865"/>
    <w:rsid w:val="006A72B5"/>
    <w:rsid w:val="006B03F1"/>
    <w:rsid w:val="006B1439"/>
    <w:rsid w:val="006B15CE"/>
    <w:rsid w:val="006B2498"/>
    <w:rsid w:val="006B28B1"/>
    <w:rsid w:val="006B29F2"/>
    <w:rsid w:val="006B3B96"/>
    <w:rsid w:val="006B483C"/>
    <w:rsid w:val="006B53D0"/>
    <w:rsid w:val="006B54BE"/>
    <w:rsid w:val="006B57D3"/>
    <w:rsid w:val="006B7B95"/>
    <w:rsid w:val="006B7EBF"/>
    <w:rsid w:val="006C1D35"/>
    <w:rsid w:val="006C38D3"/>
    <w:rsid w:val="006C4945"/>
    <w:rsid w:val="006C5231"/>
    <w:rsid w:val="006C5F5F"/>
    <w:rsid w:val="006C60C3"/>
    <w:rsid w:val="006C6811"/>
    <w:rsid w:val="006C6EA4"/>
    <w:rsid w:val="006C7DD3"/>
    <w:rsid w:val="006D0182"/>
    <w:rsid w:val="006D03B7"/>
    <w:rsid w:val="006D0A69"/>
    <w:rsid w:val="006D0C13"/>
    <w:rsid w:val="006D23B7"/>
    <w:rsid w:val="006D242C"/>
    <w:rsid w:val="006D303E"/>
    <w:rsid w:val="006D30CD"/>
    <w:rsid w:val="006D3171"/>
    <w:rsid w:val="006D395A"/>
    <w:rsid w:val="006D511F"/>
    <w:rsid w:val="006D5457"/>
    <w:rsid w:val="006D5D35"/>
    <w:rsid w:val="006D6F91"/>
    <w:rsid w:val="006D714E"/>
    <w:rsid w:val="006D7523"/>
    <w:rsid w:val="006D78B1"/>
    <w:rsid w:val="006E0A24"/>
    <w:rsid w:val="006E0DE9"/>
    <w:rsid w:val="006E0F50"/>
    <w:rsid w:val="006E2074"/>
    <w:rsid w:val="006E223F"/>
    <w:rsid w:val="006E280D"/>
    <w:rsid w:val="006E36A6"/>
    <w:rsid w:val="006E4A4E"/>
    <w:rsid w:val="006E58E6"/>
    <w:rsid w:val="006E5AB4"/>
    <w:rsid w:val="006E692D"/>
    <w:rsid w:val="006E6958"/>
    <w:rsid w:val="006E6C86"/>
    <w:rsid w:val="006E798C"/>
    <w:rsid w:val="006F0336"/>
    <w:rsid w:val="006F0943"/>
    <w:rsid w:val="006F216F"/>
    <w:rsid w:val="006F34A5"/>
    <w:rsid w:val="006F3C5C"/>
    <w:rsid w:val="006F552E"/>
    <w:rsid w:val="006F5B2C"/>
    <w:rsid w:val="006F6511"/>
    <w:rsid w:val="006F68CD"/>
    <w:rsid w:val="006F7256"/>
    <w:rsid w:val="006F7872"/>
    <w:rsid w:val="006F7C7C"/>
    <w:rsid w:val="006F7DE5"/>
    <w:rsid w:val="00700B7D"/>
    <w:rsid w:val="00700F7A"/>
    <w:rsid w:val="007012C7"/>
    <w:rsid w:val="0070226F"/>
    <w:rsid w:val="007026EB"/>
    <w:rsid w:val="00702CB2"/>
    <w:rsid w:val="0070328A"/>
    <w:rsid w:val="00703C95"/>
    <w:rsid w:val="0070490D"/>
    <w:rsid w:val="00705033"/>
    <w:rsid w:val="0070529B"/>
    <w:rsid w:val="0070602D"/>
    <w:rsid w:val="00706820"/>
    <w:rsid w:val="00707E45"/>
    <w:rsid w:val="0071041E"/>
    <w:rsid w:val="00710976"/>
    <w:rsid w:val="007131AF"/>
    <w:rsid w:val="00716253"/>
    <w:rsid w:val="007166DD"/>
    <w:rsid w:val="00716B5F"/>
    <w:rsid w:val="00717C01"/>
    <w:rsid w:val="007212A1"/>
    <w:rsid w:val="007216C0"/>
    <w:rsid w:val="00721771"/>
    <w:rsid w:val="0072332D"/>
    <w:rsid w:val="00723924"/>
    <w:rsid w:val="00723B0F"/>
    <w:rsid w:val="00723BB2"/>
    <w:rsid w:val="0072432E"/>
    <w:rsid w:val="00725472"/>
    <w:rsid w:val="0072579A"/>
    <w:rsid w:val="007313DF"/>
    <w:rsid w:val="00731B2B"/>
    <w:rsid w:val="0073227C"/>
    <w:rsid w:val="007339B6"/>
    <w:rsid w:val="00734583"/>
    <w:rsid w:val="00734E1E"/>
    <w:rsid w:val="00736628"/>
    <w:rsid w:val="00736F62"/>
    <w:rsid w:val="007418F3"/>
    <w:rsid w:val="00742DF4"/>
    <w:rsid w:val="00743512"/>
    <w:rsid w:val="007449F8"/>
    <w:rsid w:val="007453D5"/>
    <w:rsid w:val="00745BCD"/>
    <w:rsid w:val="00745E08"/>
    <w:rsid w:val="0074621F"/>
    <w:rsid w:val="00746239"/>
    <w:rsid w:val="00747150"/>
    <w:rsid w:val="00750909"/>
    <w:rsid w:val="00750EEB"/>
    <w:rsid w:val="0075166B"/>
    <w:rsid w:val="00751748"/>
    <w:rsid w:val="007527C8"/>
    <w:rsid w:val="00752FFA"/>
    <w:rsid w:val="00753584"/>
    <w:rsid w:val="00753AB3"/>
    <w:rsid w:val="00753B4A"/>
    <w:rsid w:val="00753D3C"/>
    <w:rsid w:val="0075567F"/>
    <w:rsid w:val="00755845"/>
    <w:rsid w:val="0075659F"/>
    <w:rsid w:val="007567E4"/>
    <w:rsid w:val="00757998"/>
    <w:rsid w:val="0076025F"/>
    <w:rsid w:val="00760291"/>
    <w:rsid w:val="00761358"/>
    <w:rsid w:val="00761B9A"/>
    <w:rsid w:val="00762494"/>
    <w:rsid w:val="00762B2B"/>
    <w:rsid w:val="0076327D"/>
    <w:rsid w:val="007633AF"/>
    <w:rsid w:val="0076342E"/>
    <w:rsid w:val="00763E2C"/>
    <w:rsid w:val="00763E5E"/>
    <w:rsid w:val="00766269"/>
    <w:rsid w:val="007667D1"/>
    <w:rsid w:val="007669AE"/>
    <w:rsid w:val="00766FFF"/>
    <w:rsid w:val="007702FE"/>
    <w:rsid w:val="00770C86"/>
    <w:rsid w:val="00770FE5"/>
    <w:rsid w:val="00771663"/>
    <w:rsid w:val="00772DB9"/>
    <w:rsid w:val="00773921"/>
    <w:rsid w:val="007756E4"/>
    <w:rsid w:val="00775CBB"/>
    <w:rsid w:val="00776C98"/>
    <w:rsid w:val="007773B0"/>
    <w:rsid w:val="00777DE9"/>
    <w:rsid w:val="007805E4"/>
    <w:rsid w:val="007809E6"/>
    <w:rsid w:val="00780ADC"/>
    <w:rsid w:val="00780DA6"/>
    <w:rsid w:val="00780FB1"/>
    <w:rsid w:val="00781530"/>
    <w:rsid w:val="00783970"/>
    <w:rsid w:val="00784E9E"/>
    <w:rsid w:val="00786DEF"/>
    <w:rsid w:val="0078720C"/>
    <w:rsid w:val="00791667"/>
    <w:rsid w:val="00791FFF"/>
    <w:rsid w:val="00792046"/>
    <w:rsid w:val="00792B76"/>
    <w:rsid w:val="0079417A"/>
    <w:rsid w:val="00795E75"/>
    <w:rsid w:val="007965D4"/>
    <w:rsid w:val="007979EC"/>
    <w:rsid w:val="007A17FB"/>
    <w:rsid w:val="007A2B48"/>
    <w:rsid w:val="007A2B84"/>
    <w:rsid w:val="007A2C10"/>
    <w:rsid w:val="007A3057"/>
    <w:rsid w:val="007A3C23"/>
    <w:rsid w:val="007A446D"/>
    <w:rsid w:val="007A4CFA"/>
    <w:rsid w:val="007A51C8"/>
    <w:rsid w:val="007A56C2"/>
    <w:rsid w:val="007A5A5E"/>
    <w:rsid w:val="007A5F1E"/>
    <w:rsid w:val="007A6E6D"/>
    <w:rsid w:val="007A7014"/>
    <w:rsid w:val="007B09A1"/>
    <w:rsid w:val="007B0B9F"/>
    <w:rsid w:val="007B11D2"/>
    <w:rsid w:val="007B33C5"/>
    <w:rsid w:val="007B3CDC"/>
    <w:rsid w:val="007B422F"/>
    <w:rsid w:val="007B49AE"/>
    <w:rsid w:val="007B4B47"/>
    <w:rsid w:val="007B4F36"/>
    <w:rsid w:val="007B59D0"/>
    <w:rsid w:val="007B6AB9"/>
    <w:rsid w:val="007B6E80"/>
    <w:rsid w:val="007C11C0"/>
    <w:rsid w:val="007C2951"/>
    <w:rsid w:val="007C4D54"/>
    <w:rsid w:val="007C5AC2"/>
    <w:rsid w:val="007D0308"/>
    <w:rsid w:val="007D09C8"/>
    <w:rsid w:val="007D19E8"/>
    <w:rsid w:val="007D1A68"/>
    <w:rsid w:val="007D240A"/>
    <w:rsid w:val="007D3064"/>
    <w:rsid w:val="007D4C77"/>
    <w:rsid w:val="007D4EEC"/>
    <w:rsid w:val="007D694A"/>
    <w:rsid w:val="007D7230"/>
    <w:rsid w:val="007D74FF"/>
    <w:rsid w:val="007D7571"/>
    <w:rsid w:val="007E0828"/>
    <w:rsid w:val="007E0C80"/>
    <w:rsid w:val="007E318D"/>
    <w:rsid w:val="007E4378"/>
    <w:rsid w:val="007E46B4"/>
    <w:rsid w:val="007E4EF1"/>
    <w:rsid w:val="007E58DC"/>
    <w:rsid w:val="007E5C02"/>
    <w:rsid w:val="007E600A"/>
    <w:rsid w:val="007E603A"/>
    <w:rsid w:val="007E77C5"/>
    <w:rsid w:val="007E7E26"/>
    <w:rsid w:val="007F17D9"/>
    <w:rsid w:val="007F1CA2"/>
    <w:rsid w:val="007F45FA"/>
    <w:rsid w:val="007F499B"/>
    <w:rsid w:val="007F4C34"/>
    <w:rsid w:val="007F4D15"/>
    <w:rsid w:val="007F51F5"/>
    <w:rsid w:val="007F660A"/>
    <w:rsid w:val="007F68E4"/>
    <w:rsid w:val="007F7713"/>
    <w:rsid w:val="007F7E16"/>
    <w:rsid w:val="00800E2E"/>
    <w:rsid w:val="008015BE"/>
    <w:rsid w:val="0080171B"/>
    <w:rsid w:val="00803027"/>
    <w:rsid w:val="00804A3D"/>
    <w:rsid w:val="00804D09"/>
    <w:rsid w:val="00804F1F"/>
    <w:rsid w:val="00805293"/>
    <w:rsid w:val="008056E1"/>
    <w:rsid w:val="00805A55"/>
    <w:rsid w:val="00806C1D"/>
    <w:rsid w:val="00807B54"/>
    <w:rsid w:val="00810500"/>
    <w:rsid w:val="00810863"/>
    <w:rsid w:val="00811667"/>
    <w:rsid w:val="00811A00"/>
    <w:rsid w:val="00813EB8"/>
    <w:rsid w:val="008147E1"/>
    <w:rsid w:val="00815335"/>
    <w:rsid w:val="0081639A"/>
    <w:rsid w:val="0081700B"/>
    <w:rsid w:val="008176E0"/>
    <w:rsid w:val="008176F5"/>
    <w:rsid w:val="00817D46"/>
    <w:rsid w:val="00820EB5"/>
    <w:rsid w:val="00821F3B"/>
    <w:rsid w:val="008228DC"/>
    <w:rsid w:val="00823348"/>
    <w:rsid w:val="0082362F"/>
    <w:rsid w:val="00823A34"/>
    <w:rsid w:val="00823AE4"/>
    <w:rsid w:val="00823C03"/>
    <w:rsid w:val="00824305"/>
    <w:rsid w:val="00824F66"/>
    <w:rsid w:val="008270FF"/>
    <w:rsid w:val="00830806"/>
    <w:rsid w:val="008311F3"/>
    <w:rsid w:val="00831FD6"/>
    <w:rsid w:val="0083221E"/>
    <w:rsid w:val="008326BE"/>
    <w:rsid w:val="00833319"/>
    <w:rsid w:val="00833480"/>
    <w:rsid w:val="00834509"/>
    <w:rsid w:val="00835BE9"/>
    <w:rsid w:val="00836DC0"/>
    <w:rsid w:val="00836E74"/>
    <w:rsid w:val="00837515"/>
    <w:rsid w:val="00837D14"/>
    <w:rsid w:val="00840361"/>
    <w:rsid w:val="00840EFB"/>
    <w:rsid w:val="00842653"/>
    <w:rsid w:val="00843234"/>
    <w:rsid w:val="008454DA"/>
    <w:rsid w:val="00845745"/>
    <w:rsid w:val="00845840"/>
    <w:rsid w:val="00846A8A"/>
    <w:rsid w:val="00847627"/>
    <w:rsid w:val="00852D1D"/>
    <w:rsid w:val="00853302"/>
    <w:rsid w:val="008533B3"/>
    <w:rsid w:val="008547B8"/>
    <w:rsid w:val="008553E0"/>
    <w:rsid w:val="0085645F"/>
    <w:rsid w:val="008564EC"/>
    <w:rsid w:val="00856818"/>
    <w:rsid w:val="00861CAC"/>
    <w:rsid w:val="008622F3"/>
    <w:rsid w:val="00862F07"/>
    <w:rsid w:val="00863326"/>
    <w:rsid w:val="00863B00"/>
    <w:rsid w:val="00864563"/>
    <w:rsid w:val="0086504A"/>
    <w:rsid w:val="00866033"/>
    <w:rsid w:val="00866E15"/>
    <w:rsid w:val="00867944"/>
    <w:rsid w:val="00867ED1"/>
    <w:rsid w:val="00871031"/>
    <w:rsid w:val="008711E6"/>
    <w:rsid w:val="008711EC"/>
    <w:rsid w:val="008712AF"/>
    <w:rsid w:val="00871766"/>
    <w:rsid w:val="0087186B"/>
    <w:rsid w:val="00872B97"/>
    <w:rsid w:val="00872E79"/>
    <w:rsid w:val="00874DAD"/>
    <w:rsid w:val="008757B6"/>
    <w:rsid w:val="00875CEC"/>
    <w:rsid w:val="008761F2"/>
    <w:rsid w:val="0087644E"/>
    <w:rsid w:val="00876BE1"/>
    <w:rsid w:val="00877527"/>
    <w:rsid w:val="00880BC1"/>
    <w:rsid w:val="008819AF"/>
    <w:rsid w:val="008826B6"/>
    <w:rsid w:val="00883E61"/>
    <w:rsid w:val="008840B4"/>
    <w:rsid w:val="008840E2"/>
    <w:rsid w:val="00884DA2"/>
    <w:rsid w:val="008855EA"/>
    <w:rsid w:val="00885E4B"/>
    <w:rsid w:val="008860FF"/>
    <w:rsid w:val="00886979"/>
    <w:rsid w:val="00887C19"/>
    <w:rsid w:val="00887D52"/>
    <w:rsid w:val="00887E65"/>
    <w:rsid w:val="00891629"/>
    <w:rsid w:val="008921B2"/>
    <w:rsid w:val="008921B4"/>
    <w:rsid w:val="00892B44"/>
    <w:rsid w:val="00892E1D"/>
    <w:rsid w:val="008945DC"/>
    <w:rsid w:val="00894676"/>
    <w:rsid w:val="00894C8E"/>
    <w:rsid w:val="00896D6A"/>
    <w:rsid w:val="008976BB"/>
    <w:rsid w:val="00897DDA"/>
    <w:rsid w:val="00897E44"/>
    <w:rsid w:val="008A0635"/>
    <w:rsid w:val="008A1140"/>
    <w:rsid w:val="008A13FA"/>
    <w:rsid w:val="008A16A4"/>
    <w:rsid w:val="008A1D52"/>
    <w:rsid w:val="008A1E2B"/>
    <w:rsid w:val="008A21A6"/>
    <w:rsid w:val="008A2AD7"/>
    <w:rsid w:val="008A2E0F"/>
    <w:rsid w:val="008A3540"/>
    <w:rsid w:val="008A4BF2"/>
    <w:rsid w:val="008A4C92"/>
    <w:rsid w:val="008A5E73"/>
    <w:rsid w:val="008A67A4"/>
    <w:rsid w:val="008A6B5A"/>
    <w:rsid w:val="008A6E12"/>
    <w:rsid w:val="008A7042"/>
    <w:rsid w:val="008A721B"/>
    <w:rsid w:val="008A7423"/>
    <w:rsid w:val="008A7F7E"/>
    <w:rsid w:val="008B184F"/>
    <w:rsid w:val="008B1B45"/>
    <w:rsid w:val="008B238C"/>
    <w:rsid w:val="008B52D1"/>
    <w:rsid w:val="008B5ED1"/>
    <w:rsid w:val="008B702D"/>
    <w:rsid w:val="008B791C"/>
    <w:rsid w:val="008B7F37"/>
    <w:rsid w:val="008C099F"/>
    <w:rsid w:val="008C0A19"/>
    <w:rsid w:val="008C1A58"/>
    <w:rsid w:val="008C1FA6"/>
    <w:rsid w:val="008C2375"/>
    <w:rsid w:val="008C247C"/>
    <w:rsid w:val="008C24F7"/>
    <w:rsid w:val="008C2519"/>
    <w:rsid w:val="008C29C4"/>
    <w:rsid w:val="008C3620"/>
    <w:rsid w:val="008C4260"/>
    <w:rsid w:val="008C44B7"/>
    <w:rsid w:val="008C4531"/>
    <w:rsid w:val="008C545E"/>
    <w:rsid w:val="008C65CA"/>
    <w:rsid w:val="008C69FA"/>
    <w:rsid w:val="008C71E5"/>
    <w:rsid w:val="008C7B0B"/>
    <w:rsid w:val="008D028D"/>
    <w:rsid w:val="008D1560"/>
    <w:rsid w:val="008D1EC3"/>
    <w:rsid w:val="008D292E"/>
    <w:rsid w:val="008D31A2"/>
    <w:rsid w:val="008D34EF"/>
    <w:rsid w:val="008D39A5"/>
    <w:rsid w:val="008D3B59"/>
    <w:rsid w:val="008D3CCE"/>
    <w:rsid w:val="008D3E20"/>
    <w:rsid w:val="008D5D38"/>
    <w:rsid w:val="008D7484"/>
    <w:rsid w:val="008D78F5"/>
    <w:rsid w:val="008E1785"/>
    <w:rsid w:val="008E31CE"/>
    <w:rsid w:val="008E35C9"/>
    <w:rsid w:val="008E6377"/>
    <w:rsid w:val="008E6824"/>
    <w:rsid w:val="008E6D3E"/>
    <w:rsid w:val="008E6FED"/>
    <w:rsid w:val="008E714E"/>
    <w:rsid w:val="008E7278"/>
    <w:rsid w:val="008E77F4"/>
    <w:rsid w:val="008E7970"/>
    <w:rsid w:val="008F0130"/>
    <w:rsid w:val="008F035B"/>
    <w:rsid w:val="008F1230"/>
    <w:rsid w:val="008F1600"/>
    <w:rsid w:val="008F177F"/>
    <w:rsid w:val="008F2C54"/>
    <w:rsid w:val="008F3339"/>
    <w:rsid w:val="008F6906"/>
    <w:rsid w:val="008F6A26"/>
    <w:rsid w:val="008F6D5E"/>
    <w:rsid w:val="008F7171"/>
    <w:rsid w:val="008F7AD2"/>
    <w:rsid w:val="009009FF"/>
    <w:rsid w:val="009025B7"/>
    <w:rsid w:val="00904600"/>
    <w:rsid w:val="00904CC2"/>
    <w:rsid w:val="00905F4C"/>
    <w:rsid w:val="0090728B"/>
    <w:rsid w:val="00907BA0"/>
    <w:rsid w:val="009111AA"/>
    <w:rsid w:val="00912710"/>
    <w:rsid w:val="009130AE"/>
    <w:rsid w:val="0091491C"/>
    <w:rsid w:val="00914D7E"/>
    <w:rsid w:val="009152D2"/>
    <w:rsid w:val="00916272"/>
    <w:rsid w:val="00916840"/>
    <w:rsid w:val="00916A75"/>
    <w:rsid w:val="00916D0B"/>
    <w:rsid w:val="009173E2"/>
    <w:rsid w:val="00917D0E"/>
    <w:rsid w:val="00920F2F"/>
    <w:rsid w:val="009214A3"/>
    <w:rsid w:val="00921B2F"/>
    <w:rsid w:val="009220A0"/>
    <w:rsid w:val="009220E6"/>
    <w:rsid w:val="00922584"/>
    <w:rsid w:val="00924300"/>
    <w:rsid w:val="009247B9"/>
    <w:rsid w:val="00924ADF"/>
    <w:rsid w:val="00924BAB"/>
    <w:rsid w:val="0092510F"/>
    <w:rsid w:val="00925231"/>
    <w:rsid w:val="00925BD4"/>
    <w:rsid w:val="00926383"/>
    <w:rsid w:val="00926C3C"/>
    <w:rsid w:val="00926F58"/>
    <w:rsid w:val="009302FA"/>
    <w:rsid w:val="0093073A"/>
    <w:rsid w:val="00930DE6"/>
    <w:rsid w:val="00931132"/>
    <w:rsid w:val="00932188"/>
    <w:rsid w:val="00932E45"/>
    <w:rsid w:val="009332AE"/>
    <w:rsid w:val="00935676"/>
    <w:rsid w:val="0093600A"/>
    <w:rsid w:val="00937E35"/>
    <w:rsid w:val="009412E6"/>
    <w:rsid w:val="009420D8"/>
    <w:rsid w:val="009420EB"/>
    <w:rsid w:val="0094232A"/>
    <w:rsid w:val="0094279F"/>
    <w:rsid w:val="00942A6E"/>
    <w:rsid w:val="0094371C"/>
    <w:rsid w:val="00943E7C"/>
    <w:rsid w:val="00944173"/>
    <w:rsid w:val="0094424B"/>
    <w:rsid w:val="00944282"/>
    <w:rsid w:val="0094500B"/>
    <w:rsid w:val="009458C0"/>
    <w:rsid w:val="0094597F"/>
    <w:rsid w:val="00945A9B"/>
    <w:rsid w:val="00946118"/>
    <w:rsid w:val="00946453"/>
    <w:rsid w:val="0094701B"/>
    <w:rsid w:val="009472B7"/>
    <w:rsid w:val="00947C88"/>
    <w:rsid w:val="0095029F"/>
    <w:rsid w:val="00951AF4"/>
    <w:rsid w:val="009526B2"/>
    <w:rsid w:val="00952BE2"/>
    <w:rsid w:val="00952F1B"/>
    <w:rsid w:val="009538A2"/>
    <w:rsid w:val="00953D81"/>
    <w:rsid w:val="009542E7"/>
    <w:rsid w:val="0095481A"/>
    <w:rsid w:val="00954A0D"/>
    <w:rsid w:val="00956520"/>
    <w:rsid w:val="0095744B"/>
    <w:rsid w:val="00957659"/>
    <w:rsid w:val="00957A9C"/>
    <w:rsid w:val="00961931"/>
    <w:rsid w:val="00963BAA"/>
    <w:rsid w:val="0096415C"/>
    <w:rsid w:val="00964E0A"/>
    <w:rsid w:val="00965058"/>
    <w:rsid w:val="009659AB"/>
    <w:rsid w:val="009662D3"/>
    <w:rsid w:val="00967636"/>
    <w:rsid w:val="00970383"/>
    <w:rsid w:val="00970AA1"/>
    <w:rsid w:val="00972977"/>
    <w:rsid w:val="00975CBC"/>
    <w:rsid w:val="00976268"/>
    <w:rsid w:val="00976314"/>
    <w:rsid w:val="009769FD"/>
    <w:rsid w:val="00976B7E"/>
    <w:rsid w:val="00980780"/>
    <w:rsid w:val="00980C07"/>
    <w:rsid w:val="00982945"/>
    <w:rsid w:val="009840E0"/>
    <w:rsid w:val="00984C57"/>
    <w:rsid w:val="009854F7"/>
    <w:rsid w:val="0098552E"/>
    <w:rsid w:val="009859BE"/>
    <w:rsid w:val="009869F7"/>
    <w:rsid w:val="00987C1B"/>
    <w:rsid w:val="009906C0"/>
    <w:rsid w:val="00991915"/>
    <w:rsid w:val="009919C6"/>
    <w:rsid w:val="00993083"/>
    <w:rsid w:val="00993A8A"/>
    <w:rsid w:val="00995292"/>
    <w:rsid w:val="009959E3"/>
    <w:rsid w:val="00996601"/>
    <w:rsid w:val="00996D42"/>
    <w:rsid w:val="00997F7C"/>
    <w:rsid w:val="009A0C71"/>
    <w:rsid w:val="009A18B8"/>
    <w:rsid w:val="009A1A60"/>
    <w:rsid w:val="009A1C0B"/>
    <w:rsid w:val="009A1C41"/>
    <w:rsid w:val="009A2007"/>
    <w:rsid w:val="009A2567"/>
    <w:rsid w:val="009A294E"/>
    <w:rsid w:val="009A2F19"/>
    <w:rsid w:val="009A4DB1"/>
    <w:rsid w:val="009A5F2B"/>
    <w:rsid w:val="009A6987"/>
    <w:rsid w:val="009A6D45"/>
    <w:rsid w:val="009A7BB3"/>
    <w:rsid w:val="009B013A"/>
    <w:rsid w:val="009B0DB8"/>
    <w:rsid w:val="009B30CD"/>
    <w:rsid w:val="009B334D"/>
    <w:rsid w:val="009B48D1"/>
    <w:rsid w:val="009B4AF7"/>
    <w:rsid w:val="009B4C48"/>
    <w:rsid w:val="009B5370"/>
    <w:rsid w:val="009B64AF"/>
    <w:rsid w:val="009B7B33"/>
    <w:rsid w:val="009C03D1"/>
    <w:rsid w:val="009C0CFE"/>
    <w:rsid w:val="009C188C"/>
    <w:rsid w:val="009C2705"/>
    <w:rsid w:val="009C2872"/>
    <w:rsid w:val="009C35B6"/>
    <w:rsid w:val="009C3E21"/>
    <w:rsid w:val="009C4A04"/>
    <w:rsid w:val="009C5956"/>
    <w:rsid w:val="009C5FE4"/>
    <w:rsid w:val="009C6EE1"/>
    <w:rsid w:val="009C730C"/>
    <w:rsid w:val="009D01A0"/>
    <w:rsid w:val="009D1DD4"/>
    <w:rsid w:val="009D2403"/>
    <w:rsid w:val="009D2454"/>
    <w:rsid w:val="009D245D"/>
    <w:rsid w:val="009D342B"/>
    <w:rsid w:val="009D37B1"/>
    <w:rsid w:val="009D3B94"/>
    <w:rsid w:val="009D40C2"/>
    <w:rsid w:val="009D4A4E"/>
    <w:rsid w:val="009D4FD7"/>
    <w:rsid w:val="009D5773"/>
    <w:rsid w:val="009D6373"/>
    <w:rsid w:val="009D7258"/>
    <w:rsid w:val="009E09CD"/>
    <w:rsid w:val="009E1017"/>
    <w:rsid w:val="009E2259"/>
    <w:rsid w:val="009E2430"/>
    <w:rsid w:val="009E3CC7"/>
    <w:rsid w:val="009E446C"/>
    <w:rsid w:val="009E4DC4"/>
    <w:rsid w:val="009E5978"/>
    <w:rsid w:val="009E621F"/>
    <w:rsid w:val="009E7689"/>
    <w:rsid w:val="009E7DD5"/>
    <w:rsid w:val="009E7DDE"/>
    <w:rsid w:val="009F09FD"/>
    <w:rsid w:val="009F1417"/>
    <w:rsid w:val="009F145A"/>
    <w:rsid w:val="009F179C"/>
    <w:rsid w:val="009F1A46"/>
    <w:rsid w:val="009F1E99"/>
    <w:rsid w:val="009F238F"/>
    <w:rsid w:val="009F2BCB"/>
    <w:rsid w:val="009F34CB"/>
    <w:rsid w:val="009F4D01"/>
    <w:rsid w:val="009F5724"/>
    <w:rsid w:val="009F5830"/>
    <w:rsid w:val="009F5F9C"/>
    <w:rsid w:val="009F6ABA"/>
    <w:rsid w:val="009F7C16"/>
    <w:rsid w:val="00A02771"/>
    <w:rsid w:val="00A02B06"/>
    <w:rsid w:val="00A03697"/>
    <w:rsid w:val="00A045B3"/>
    <w:rsid w:val="00A054D1"/>
    <w:rsid w:val="00A055C5"/>
    <w:rsid w:val="00A067BB"/>
    <w:rsid w:val="00A06A7D"/>
    <w:rsid w:val="00A06DDB"/>
    <w:rsid w:val="00A07166"/>
    <w:rsid w:val="00A07731"/>
    <w:rsid w:val="00A07E0A"/>
    <w:rsid w:val="00A1012A"/>
    <w:rsid w:val="00A1058D"/>
    <w:rsid w:val="00A113FB"/>
    <w:rsid w:val="00A11A0B"/>
    <w:rsid w:val="00A11CF6"/>
    <w:rsid w:val="00A11F11"/>
    <w:rsid w:val="00A127D7"/>
    <w:rsid w:val="00A128CD"/>
    <w:rsid w:val="00A12F65"/>
    <w:rsid w:val="00A13FA5"/>
    <w:rsid w:val="00A1491E"/>
    <w:rsid w:val="00A14966"/>
    <w:rsid w:val="00A14D6D"/>
    <w:rsid w:val="00A15525"/>
    <w:rsid w:val="00A15B9B"/>
    <w:rsid w:val="00A16479"/>
    <w:rsid w:val="00A17410"/>
    <w:rsid w:val="00A175C5"/>
    <w:rsid w:val="00A17E24"/>
    <w:rsid w:val="00A219C7"/>
    <w:rsid w:val="00A2283B"/>
    <w:rsid w:val="00A229D5"/>
    <w:rsid w:val="00A232AE"/>
    <w:rsid w:val="00A2394B"/>
    <w:rsid w:val="00A24B8E"/>
    <w:rsid w:val="00A24FDA"/>
    <w:rsid w:val="00A25ED0"/>
    <w:rsid w:val="00A26790"/>
    <w:rsid w:val="00A301FF"/>
    <w:rsid w:val="00A30BD0"/>
    <w:rsid w:val="00A31F85"/>
    <w:rsid w:val="00A328CE"/>
    <w:rsid w:val="00A3395A"/>
    <w:rsid w:val="00A3479F"/>
    <w:rsid w:val="00A35847"/>
    <w:rsid w:val="00A359CB"/>
    <w:rsid w:val="00A35E8A"/>
    <w:rsid w:val="00A3739A"/>
    <w:rsid w:val="00A3789E"/>
    <w:rsid w:val="00A40C84"/>
    <w:rsid w:val="00A41CB5"/>
    <w:rsid w:val="00A41D2E"/>
    <w:rsid w:val="00A41E2D"/>
    <w:rsid w:val="00A42381"/>
    <w:rsid w:val="00A4286D"/>
    <w:rsid w:val="00A44133"/>
    <w:rsid w:val="00A44899"/>
    <w:rsid w:val="00A450E0"/>
    <w:rsid w:val="00A45103"/>
    <w:rsid w:val="00A452B2"/>
    <w:rsid w:val="00A461DD"/>
    <w:rsid w:val="00A4638C"/>
    <w:rsid w:val="00A464CE"/>
    <w:rsid w:val="00A50954"/>
    <w:rsid w:val="00A51A94"/>
    <w:rsid w:val="00A52F1C"/>
    <w:rsid w:val="00A535D8"/>
    <w:rsid w:val="00A53EEA"/>
    <w:rsid w:val="00A547DC"/>
    <w:rsid w:val="00A558A7"/>
    <w:rsid w:val="00A55E07"/>
    <w:rsid w:val="00A57F6D"/>
    <w:rsid w:val="00A60630"/>
    <w:rsid w:val="00A61778"/>
    <w:rsid w:val="00A61903"/>
    <w:rsid w:val="00A61D44"/>
    <w:rsid w:val="00A62339"/>
    <w:rsid w:val="00A62C35"/>
    <w:rsid w:val="00A66738"/>
    <w:rsid w:val="00A66922"/>
    <w:rsid w:val="00A6718A"/>
    <w:rsid w:val="00A67335"/>
    <w:rsid w:val="00A67337"/>
    <w:rsid w:val="00A703C6"/>
    <w:rsid w:val="00A7267C"/>
    <w:rsid w:val="00A727A4"/>
    <w:rsid w:val="00A741DF"/>
    <w:rsid w:val="00A7448F"/>
    <w:rsid w:val="00A749FB"/>
    <w:rsid w:val="00A7592C"/>
    <w:rsid w:val="00A7658D"/>
    <w:rsid w:val="00A76987"/>
    <w:rsid w:val="00A779EF"/>
    <w:rsid w:val="00A82459"/>
    <w:rsid w:val="00A825D1"/>
    <w:rsid w:val="00A8494F"/>
    <w:rsid w:val="00A84C5E"/>
    <w:rsid w:val="00A85943"/>
    <w:rsid w:val="00A85993"/>
    <w:rsid w:val="00A85A4B"/>
    <w:rsid w:val="00A87A92"/>
    <w:rsid w:val="00A87F6D"/>
    <w:rsid w:val="00A901BF"/>
    <w:rsid w:val="00A92B14"/>
    <w:rsid w:val="00A93879"/>
    <w:rsid w:val="00A94E19"/>
    <w:rsid w:val="00A95835"/>
    <w:rsid w:val="00A95B78"/>
    <w:rsid w:val="00A960E4"/>
    <w:rsid w:val="00A9616C"/>
    <w:rsid w:val="00A963B7"/>
    <w:rsid w:val="00A9644F"/>
    <w:rsid w:val="00A9720B"/>
    <w:rsid w:val="00A97347"/>
    <w:rsid w:val="00A9752E"/>
    <w:rsid w:val="00AA1070"/>
    <w:rsid w:val="00AA2359"/>
    <w:rsid w:val="00AA2379"/>
    <w:rsid w:val="00AA3755"/>
    <w:rsid w:val="00AA41F0"/>
    <w:rsid w:val="00AA41F7"/>
    <w:rsid w:val="00AA7114"/>
    <w:rsid w:val="00AA796A"/>
    <w:rsid w:val="00AB0969"/>
    <w:rsid w:val="00AB1E51"/>
    <w:rsid w:val="00AB3BDF"/>
    <w:rsid w:val="00AB3EF6"/>
    <w:rsid w:val="00AB501B"/>
    <w:rsid w:val="00AB5CD2"/>
    <w:rsid w:val="00AB692C"/>
    <w:rsid w:val="00AB6D24"/>
    <w:rsid w:val="00AB6EC7"/>
    <w:rsid w:val="00AB705F"/>
    <w:rsid w:val="00AB7562"/>
    <w:rsid w:val="00AC08F6"/>
    <w:rsid w:val="00AC1454"/>
    <w:rsid w:val="00AC1921"/>
    <w:rsid w:val="00AC1A80"/>
    <w:rsid w:val="00AC1CC5"/>
    <w:rsid w:val="00AC1D43"/>
    <w:rsid w:val="00AC2F26"/>
    <w:rsid w:val="00AC33F4"/>
    <w:rsid w:val="00AC38C5"/>
    <w:rsid w:val="00AC3BA9"/>
    <w:rsid w:val="00AC3C3B"/>
    <w:rsid w:val="00AC4E5F"/>
    <w:rsid w:val="00AC5DBC"/>
    <w:rsid w:val="00AD08B8"/>
    <w:rsid w:val="00AD23C1"/>
    <w:rsid w:val="00AD39AE"/>
    <w:rsid w:val="00AD3A76"/>
    <w:rsid w:val="00AD4362"/>
    <w:rsid w:val="00AD4BAE"/>
    <w:rsid w:val="00AD51C3"/>
    <w:rsid w:val="00AD632F"/>
    <w:rsid w:val="00AD65EE"/>
    <w:rsid w:val="00AE011E"/>
    <w:rsid w:val="00AE37D6"/>
    <w:rsid w:val="00AE435A"/>
    <w:rsid w:val="00AE4A8B"/>
    <w:rsid w:val="00AE4C54"/>
    <w:rsid w:val="00AE6223"/>
    <w:rsid w:val="00AE68A6"/>
    <w:rsid w:val="00AE6BE3"/>
    <w:rsid w:val="00AE7709"/>
    <w:rsid w:val="00AE7A32"/>
    <w:rsid w:val="00AF0304"/>
    <w:rsid w:val="00AF0D17"/>
    <w:rsid w:val="00AF0FF7"/>
    <w:rsid w:val="00AF179A"/>
    <w:rsid w:val="00AF1D64"/>
    <w:rsid w:val="00AF22B5"/>
    <w:rsid w:val="00AF38F7"/>
    <w:rsid w:val="00AF40B9"/>
    <w:rsid w:val="00AF4763"/>
    <w:rsid w:val="00AF4D1B"/>
    <w:rsid w:val="00AF56C3"/>
    <w:rsid w:val="00AF6C19"/>
    <w:rsid w:val="00AF700D"/>
    <w:rsid w:val="00AF799B"/>
    <w:rsid w:val="00B00A2E"/>
    <w:rsid w:val="00B00D2F"/>
    <w:rsid w:val="00B03223"/>
    <w:rsid w:val="00B03DC0"/>
    <w:rsid w:val="00B04C8F"/>
    <w:rsid w:val="00B04E1E"/>
    <w:rsid w:val="00B053F2"/>
    <w:rsid w:val="00B06C1A"/>
    <w:rsid w:val="00B108C3"/>
    <w:rsid w:val="00B12208"/>
    <w:rsid w:val="00B13868"/>
    <w:rsid w:val="00B13D31"/>
    <w:rsid w:val="00B13EB1"/>
    <w:rsid w:val="00B14E58"/>
    <w:rsid w:val="00B163AB"/>
    <w:rsid w:val="00B1770A"/>
    <w:rsid w:val="00B17B26"/>
    <w:rsid w:val="00B17ECF"/>
    <w:rsid w:val="00B20CBC"/>
    <w:rsid w:val="00B20D2E"/>
    <w:rsid w:val="00B228F6"/>
    <w:rsid w:val="00B22D74"/>
    <w:rsid w:val="00B22E55"/>
    <w:rsid w:val="00B232DC"/>
    <w:rsid w:val="00B23A32"/>
    <w:rsid w:val="00B25727"/>
    <w:rsid w:val="00B26AFE"/>
    <w:rsid w:val="00B27792"/>
    <w:rsid w:val="00B32D0F"/>
    <w:rsid w:val="00B33DE7"/>
    <w:rsid w:val="00B34ADE"/>
    <w:rsid w:val="00B35ED0"/>
    <w:rsid w:val="00B36052"/>
    <w:rsid w:val="00B36FC2"/>
    <w:rsid w:val="00B37A5F"/>
    <w:rsid w:val="00B403E3"/>
    <w:rsid w:val="00B40C93"/>
    <w:rsid w:val="00B40DA6"/>
    <w:rsid w:val="00B42774"/>
    <w:rsid w:val="00B432B4"/>
    <w:rsid w:val="00B4372F"/>
    <w:rsid w:val="00B46F56"/>
    <w:rsid w:val="00B47A94"/>
    <w:rsid w:val="00B47FB9"/>
    <w:rsid w:val="00B50AD0"/>
    <w:rsid w:val="00B50DE6"/>
    <w:rsid w:val="00B51C0E"/>
    <w:rsid w:val="00B52877"/>
    <w:rsid w:val="00B548FF"/>
    <w:rsid w:val="00B549AA"/>
    <w:rsid w:val="00B54B84"/>
    <w:rsid w:val="00B556EE"/>
    <w:rsid w:val="00B556F7"/>
    <w:rsid w:val="00B55D26"/>
    <w:rsid w:val="00B561DB"/>
    <w:rsid w:val="00B5643E"/>
    <w:rsid w:val="00B574FA"/>
    <w:rsid w:val="00B57AF3"/>
    <w:rsid w:val="00B57B18"/>
    <w:rsid w:val="00B60221"/>
    <w:rsid w:val="00B60724"/>
    <w:rsid w:val="00B60A2C"/>
    <w:rsid w:val="00B60BAA"/>
    <w:rsid w:val="00B60D63"/>
    <w:rsid w:val="00B612A1"/>
    <w:rsid w:val="00B618AE"/>
    <w:rsid w:val="00B61CCF"/>
    <w:rsid w:val="00B61F6A"/>
    <w:rsid w:val="00B621CF"/>
    <w:rsid w:val="00B627D8"/>
    <w:rsid w:val="00B6408C"/>
    <w:rsid w:val="00B659C5"/>
    <w:rsid w:val="00B6633D"/>
    <w:rsid w:val="00B66ECA"/>
    <w:rsid w:val="00B70464"/>
    <w:rsid w:val="00B716DE"/>
    <w:rsid w:val="00B72FB7"/>
    <w:rsid w:val="00B73446"/>
    <w:rsid w:val="00B75573"/>
    <w:rsid w:val="00B76952"/>
    <w:rsid w:val="00B8082B"/>
    <w:rsid w:val="00B808E8"/>
    <w:rsid w:val="00B80C9F"/>
    <w:rsid w:val="00B80FA1"/>
    <w:rsid w:val="00B822DE"/>
    <w:rsid w:val="00B823F9"/>
    <w:rsid w:val="00B82541"/>
    <w:rsid w:val="00B82AE9"/>
    <w:rsid w:val="00B83085"/>
    <w:rsid w:val="00B8383F"/>
    <w:rsid w:val="00B8455B"/>
    <w:rsid w:val="00B85272"/>
    <w:rsid w:val="00B860AA"/>
    <w:rsid w:val="00B86630"/>
    <w:rsid w:val="00B86773"/>
    <w:rsid w:val="00B91976"/>
    <w:rsid w:val="00B92C8A"/>
    <w:rsid w:val="00B93104"/>
    <w:rsid w:val="00B94C15"/>
    <w:rsid w:val="00B955E9"/>
    <w:rsid w:val="00B963AB"/>
    <w:rsid w:val="00B9798C"/>
    <w:rsid w:val="00B97F35"/>
    <w:rsid w:val="00BA05C7"/>
    <w:rsid w:val="00BA19D0"/>
    <w:rsid w:val="00BA22E1"/>
    <w:rsid w:val="00BA2B4B"/>
    <w:rsid w:val="00BA2D41"/>
    <w:rsid w:val="00BA2DB9"/>
    <w:rsid w:val="00BA324E"/>
    <w:rsid w:val="00BA327D"/>
    <w:rsid w:val="00BA425E"/>
    <w:rsid w:val="00BA592A"/>
    <w:rsid w:val="00BA5CE4"/>
    <w:rsid w:val="00BA5E94"/>
    <w:rsid w:val="00BA6689"/>
    <w:rsid w:val="00BA6753"/>
    <w:rsid w:val="00BB066F"/>
    <w:rsid w:val="00BB30E6"/>
    <w:rsid w:val="00BB450E"/>
    <w:rsid w:val="00BB55DC"/>
    <w:rsid w:val="00BB6048"/>
    <w:rsid w:val="00BB6227"/>
    <w:rsid w:val="00BB6529"/>
    <w:rsid w:val="00BB6967"/>
    <w:rsid w:val="00BB7014"/>
    <w:rsid w:val="00BC0474"/>
    <w:rsid w:val="00BC048C"/>
    <w:rsid w:val="00BC0D58"/>
    <w:rsid w:val="00BC2D6A"/>
    <w:rsid w:val="00BC3104"/>
    <w:rsid w:val="00BC3792"/>
    <w:rsid w:val="00BC3F55"/>
    <w:rsid w:val="00BC4453"/>
    <w:rsid w:val="00BC4BFF"/>
    <w:rsid w:val="00BC4C28"/>
    <w:rsid w:val="00BC5419"/>
    <w:rsid w:val="00BC57A9"/>
    <w:rsid w:val="00BC5CB0"/>
    <w:rsid w:val="00BC61D3"/>
    <w:rsid w:val="00BC674A"/>
    <w:rsid w:val="00BC7607"/>
    <w:rsid w:val="00BD1022"/>
    <w:rsid w:val="00BD237F"/>
    <w:rsid w:val="00BD3875"/>
    <w:rsid w:val="00BD4877"/>
    <w:rsid w:val="00BD5F01"/>
    <w:rsid w:val="00BD6EBF"/>
    <w:rsid w:val="00BD7BB2"/>
    <w:rsid w:val="00BD7EDE"/>
    <w:rsid w:val="00BE0F76"/>
    <w:rsid w:val="00BE1863"/>
    <w:rsid w:val="00BE1CCF"/>
    <w:rsid w:val="00BE25D3"/>
    <w:rsid w:val="00BE2CB5"/>
    <w:rsid w:val="00BE2D24"/>
    <w:rsid w:val="00BE38D9"/>
    <w:rsid w:val="00BE3B18"/>
    <w:rsid w:val="00BE4C0F"/>
    <w:rsid w:val="00BE5C87"/>
    <w:rsid w:val="00BF0189"/>
    <w:rsid w:val="00BF10F6"/>
    <w:rsid w:val="00BF1118"/>
    <w:rsid w:val="00BF417F"/>
    <w:rsid w:val="00BF50E2"/>
    <w:rsid w:val="00BF54FE"/>
    <w:rsid w:val="00BF54FF"/>
    <w:rsid w:val="00C00A50"/>
    <w:rsid w:val="00C00F47"/>
    <w:rsid w:val="00C01402"/>
    <w:rsid w:val="00C04000"/>
    <w:rsid w:val="00C04332"/>
    <w:rsid w:val="00C0497E"/>
    <w:rsid w:val="00C04BD8"/>
    <w:rsid w:val="00C0514D"/>
    <w:rsid w:val="00C05FF6"/>
    <w:rsid w:val="00C06AA8"/>
    <w:rsid w:val="00C07DD7"/>
    <w:rsid w:val="00C10305"/>
    <w:rsid w:val="00C10BAF"/>
    <w:rsid w:val="00C10DF4"/>
    <w:rsid w:val="00C11798"/>
    <w:rsid w:val="00C15C83"/>
    <w:rsid w:val="00C15F16"/>
    <w:rsid w:val="00C16DC9"/>
    <w:rsid w:val="00C16E06"/>
    <w:rsid w:val="00C1771A"/>
    <w:rsid w:val="00C17FFA"/>
    <w:rsid w:val="00C20FA1"/>
    <w:rsid w:val="00C21870"/>
    <w:rsid w:val="00C21EF8"/>
    <w:rsid w:val="00C2208E"/>
    <w:rsid w:val="00C22E47"/>
    <w:rsid w:val="00C2448D"/>
    <w:rsid w:val="00C2463E"/>
    <w:rsid w:val="00C260E4"/>
    <w:rsid w:val="00C26E3B"/>
    <w:rsid w:val="00C32423"/>
    <w:rsid w:val="00C33E4C"/>
    <w:rsid w:val="00C34780"/>
    <w:rsid w:val="00C3507A"/>
    <w:rsid w:val="00C354B2"/>
    <w:rsid w:val="00C35964"/>
    <w:rsid w:val="00C36266"/>
    <w:rsid w:val="00C369F6"/>
    <w:rsid w:val="00C40597"/>
    <w:rsid w:val="00C4182F"/>
    <w:rsid w:val="00C423E5"/>
    <w:rsid w:val="00C42F61"/>
    <w:rsid w:val="00C442EF"/>
    <w:rsid w:val="00C44679"/>
    <w:rsid w:val="00C452EA"/>
    <w:rsid w:val="00C45AC4"/>
    <w:rsid w:val="00C4647A"/>
    <w:rsid w:val="00C46774"/>
    <w:rsid w:val="00C469E8"/>
    <w:rsid w:val="00C46A79"/>
    <w:rsid w:val="00C4709C"/>
    <w:rsid w:val="00C47494"/>
    <w:rsid w:val="00C47809"/>
    <w:rsid w:val="00C47889"/>
    <w:rsid w:val="00C502E4"/>
    <w:rsid w:val="00C50787"/>
    <w:rsid w:val="00C50FEF"/>
    <w:rsid w:val="00C519D4"/>
    <w:rsid w:val="00C532CA"/>
    <w:rsid w:val="00C53985"/>
    <w:rsid w:val="00C53B5E"/>
    <w:rsid w:val="00C54014"/>
    <w:rsid w:val="00C54AB5"/>
    <w:rsid w:val="00C54AE6"/>
    <w:rsid w:val="00C55ADF"/>
    <w:rsid w:val="00C55B98"/>
    <w:rsid w:val="00C5619B"/>
    <w:rsid w:val="00C561D6"/>
    <w:rsid w:val="00C56257"/>
    <w:rsid w:val="00C562F3"/>
    <w:rsid w:val="00C6118C"/>
    <w:rsid w:val="00C62363"/>
    <w:rsid w:val="00C62B80"/>
    <w:rsid w:val="00C62D83"/>
    <w:rsid w:val="00C635F6"/>
    <w:rsid w:val="00C63794"/>
    <w:rsid w:val="00C64609"/>
    <w:rsid w:val="00C65CE8"/>
    <w:rsid w:val="00C664A9"/>
    <w:rsid w:val="00C66EA6"/>
    <w:rsid w:val="00C67698"/>
    <w:rsid w:val="00C67FB6"/>
    <w:rsid w:val="00C701CC"/>
    <w:rsid w:val="00C71A2A"/>
    <w:rsid w:val="00C71C3F"/>
    <w:rsid w:val="00C72184"/>
    <w:rsid w:val="00C724DF"/>
    <w:rsid w:val="00C72833"/>
    <w:rsid w:val="00C72CBB"/>
    <w:rsid w:val="00C73597"/>
    <w:rsid w:val="00C73C4F"/>
    <w:rsid w:val="00C7409A"/>
    <w:rsid w:val="00C741D9"/>
    <w:rsid w:val="00C74CBE"/>
    <w:rsid w:val="00C762C3"/>
    <w:rsid w:val="00C77B24"/>
    <w:rsid w:val="00C77CD2"/>
    <w:rsid w:val="00C80052"/>
    <w:rsid w:val="00C800D5"/>
    <w:rsid w:val="00C816AE"/>
    <w:rsid w:val="00C81772"/>
    <w:rsid w:val="00C81C6A"/>
    <w:rsid w:val="00C825FB"/>
    <w:rsid w:val="00C82BE6"/>
    <w:rsid w:val="00C837E8"/>
    <w:rsid w:val="00C848A5"/>
    <w:rsid w:val="00C85F17"/>
    <w:rsid w:val="00C861E1"/>
    <w:rsid w:val="00C86940"/>
    <w:rsid w:val="00C86EBB"/>
    <w:rsid w:val="00C90229"/>
    <w:rsid w:val="00C9060D"/>
    <w:rsid w:val="00C916D5"/>
    <w:rsid w:val="00C92B2E"/>
    <w:rsid w:val="00C93686"/>
    <w:rsid w:val="00C93767"/>
    <w:rsid w:val="00C95DE4"/>
    <w:rsid w:val="00C9617A"/>
    <w:rsid w:val="00C9669B"/>
    <w:rsid w:val="00C96B96"/>
    <w:rsid w:val="00C96FBF"/>
    <w:rsid w:val="00C97604"/>
    <w:rsid w:val="00CA0394"/>
    <w:rsid w:val="00CA0E5E"/>
    <w:rsid w:val="00CA171C"/>
    <w:rsid w:val="00CA1833"/>
    <w:rsid w:val="00CA23C0"/>
    <w:rsid w:val="00CA268C"/>
    <w:rsid w:val="00CA34A1"/>
    <w:rsid w:val="00CA3A7E"/>
    <w:rsid w:val="00CA5CAC"/>
    <w:rsid w:val="00CA5D2C"/>
    <w:rsid w:val="00CA60FF"/>
    <w:rsid w:val="00CA68A9"/>
    <w:rsid w:val="00CA6CAC"/>
    <w:rsid w:val="00CA727B"/>
    <w:rsid w:val="00CB3504"/>
    <w:rsid w:val="00CB37AD"/>
    <w:rsid w:val="00CB37D1"/>
    <w:rsid w:val="00CB46F2"/>
    <w:rsid w:val="00CB48BF"/>
    <w:rsid w:val="00CB59A5"/>
    <w:rsid w:val="00CB5D9A"/>
    <w:rsid w:val="00CB777F"/>
    <w:rsid w:val="00CC28B8"/>
    <w:rsid w:val="00CC32F5"/>
    <w:rsid w:val="00CC4363"/>
    <w:rsid w:val="00CC532B"/>
    <w:rsid w:val="00CC5697"/>
    <w:rsid w:val="00CC5D88"/>
    <w:rsid w:val="00CC617E"/>
    <w:rsid w:val="00CC6303"/>
    <w:rsid w:val="00CC6305"/>
    <w:rsid w:val="00CC6B1F"/>
    <w:rsid w:val="00CC73F9"/>
    <w:rsid w:val="00CC7C5C"/>
    <w:rsid w:val="00CD044E"/>
    <w:rsid w:val="00CD1538"/>
    <w:rsid w:val="00CD1642"/>
    <w:rsid w:val="00CD1651"/>
    <w:rsid w:val="00CD22B2"/>
    <w:rsid w:val="00CD2DDF"/>
    <w:rsid w:val="00CD354B"/>
    <w:rsid w:val="00CD3EBE"/>
    <w:rsid w:val="00CD404D"/>
    <w:rsid w:val="00CD49E5"/>
    <w:rsid w:val="00CD5530"/>
    <w:rsid w:val="00CD633A"/>
    <w:rsid w:val="00CD6C3F"/>
    <w:rsid w:val="00CD720F"/>
    <w:rsid w:val="00CD7608"/>
    <w:rsid w:val="00CD7A14"/>
    <w:rsid w:val="00CE0112"/>
    <w:rsid w:val="00CE1D48"/>
    <w:rsid w:val="00CE24B2"/>
    <w:rsid w:val="00CE45BD"/>
    <w:rsid w:val="00CE5032"/>
    <w:rsid w:val="00CE61DA"/>
    <w:rsid w:val="00CE6384"/>
    <w:rsid w:val="00CE68A6"/>
    <w:rsid w:val="00CE75C2"/>
    <w:rsid w:val="00CE7F75"/>
    <w:rsid w:val="00CF184F"/>
    <w:rsid w:val="00CF3C22"/>
    <w:rsid w:val="00CF3DC5"/>
    <w:rsid w:val="00CF4020"/>
    <w:rsid w:val="00CF4E7F"/>
    <w:rsid w:val="00CF54E4"/>
    <w:rsid w:val="00CF5EA3"/>
    <w:rsid w:val="00CF6EA0"/>
    <w:rsid w:val="00CF7BA6"/>
    <w:rsid w:val="00D0009F"/>
    <w:rsid w:val="00D01F5A"/>
    <w:rsid w:val="00D021B4"/>
    <w:rsid w:val="00D0270B"/>
    <w:rsid w:val="00D031D0"/>
    <w:rsid w:val="00D039E7"/>
    <w:rsid w:val="00D04FCC"/>
    <w:rsid w:val="00D0537F"/>
    <w:rsid w:val="00D066BC"/>
    <w:rsid w:val="00D066E5"/>
    <w:rsid w:val="00D11971"/>
    <w:rsid w:val="00D11A59"/>
    <w:rsid w:val="00D13031"/>
    <w:rsid w:val="00D13964"/>
    <w:rsid w:val="00D142A6"/>
    <w:rsid w:val="00D160D7"/>
    <w:rsid w:val="00D16908"/>
    <w:rsid w:val="00D16971"/>
    <w:rsid w:val="00D16D59"/>
    <w:rsid w:val="00D16EE0"/>
    <w:rsid w:val="00D17A9F"/>
    <w:rsid w:val="00D20019"/>
    <w:rsid w:val="00D2067B"/>
    <w:rsid w:val="00D2070D"/>
    <w:rsid w:val="00D21131"/>
    <w:rsid w:val="00D2128C"/>
    <w:rsid w:val="00D23ACD"/>
    <w:rsid w:val="00D309AD"/>
    <w:rsid w:val="00D30C4D"/>
    <w:rsid w:val="00D3246D"/>
    <w:rsid w:val="00D3372C"/>
    <w:rsid w:val="00D34711"/>
    <w:rsid w:val="00D3494F"/>
    <w:rsid w:val="00D35C77"/>
    <w:rsid w:val="00D35D01"/>
    <w:rsid w:val="00D3737A"/>
    <w:rsid w:val="00D37414"/>
    <w:rsid w:val="00D40303"/>
    <w:rsid w:val="00D4122E"/>
    <w:rsid w:val="00D417A2"/>
    <w:rsid w:val="00D41BA5"/>
    <w:rsid w:val="00D4251A"/>
    <w:rsid w:val="00D4307C"/>
    <w:rsid w:val="00D44C50"/>
    <w:rsid w:val="00D461CB"/>
    <w:rsid w:val="00D47BB5"/>
    <w:rsid w:val="00D47F29"/>
    <w:rsid w:val="00D51786"/>
    <w:rsid w:val="00D51C35"/>
    <w:rsid w:val="00D535BE"/>
    <w:rsid w:val="00D53F64"/>
    <w:rsid w:val="00D54552"/>
    <w:rsid w:val="00D549EB"/>
    <w:rsid w:val="00D54C37"/>
    <w:rsid w:val="00D553C2"/>
    <w:rsid w:val="00D55E7F"/>
    <w:rsid w:val="00D571F5"/>
    <w:rsid w:val="00D57B64"/>
    <w:rsid w:val="00D57DE1"/>
    <w:rsid w:val="00D61665"/>
    <w:rsid w:val="00D62419"/>
    <w:rsid w:val="00D6302C"/>
    <w:rsid w:val="00D63368"/>
    <w:rsid w:val="00D652BF"/>
    <w:rsid w:val="00D65307"/>
    <w:rsid w:val="00D65E30"/>
    <w:rsid w:val="00D679CE"/>
    <w:rsid w:val="00D67D22"/>
    <w:rsid w:val="00D70471"/>
    <w:rsid w:val="00D70C11"/>
    <w:rsid w:val="00D7160C"/>
    <w:rsid w:val="00D718C8"/>
    <w:rsid w:val="00D72121"/>
    <w:rsid w:val="00D73F0A"/>
    <w:rsid w:val="00D7475A"/>
    <w:rsid w:val="00D74D29"/>
    <w:rsid w:val="00D75740"/>
    <w:rsid w:val="00D7641D"/>
    <w:rsid w:val="00D76AE8"/>
    <w:rsid w:val="00D771A1"/>
    <w:rsid w:val="00D77ECC"/>
    <w:rsid w:val="00D80333"/>
    <w:rsid w:val="00D816C0"/>
    <w:rsid w:val="00D836E5"/>
    <w:rsid w:val="00D83930"/>
    <w:rsid w:val="00D850E4"/>
    <w:rsid w:val="00D8646F"/>
    <w:rsid w:val="00D90515"/>
    <w:rsid w:val="00D92F6D"/>
    <w:rsid w:val="00D94511"/>
    <w:rsid w:val="00D94D44"/>
    <w:rsid w:val="00D950CA"/>
    <w:rsid w:val="00D95C7F"/>
    <w:rsid w:val="00DA0C28"/>
    <w:rsid w:val="00DA0D8E"/>
    <w:rsid w:val="00DA213B"/>
    <w:rsid w:val="00DA2A57"/>
    <w:rsid w:val="00DA2EFC"/>
    <w:rsid w:val="00DA3243"/>
    <w:rsid w:val="00DA3721"/>
    <w:rsid w:val="00DA3869"/>
    <w:rsid w:val="00DA4A59"/>
    <w:rsid w:val="00DA6D9B"/>
    <w:rsid w:val="00DA7436"/>
    <w:rsid w:val="00DA7D09"/>
    <w:rsid w:val="00DB0872"/>
    <w:rsid w:val="00DB0EB0"/>
    <w:rsid w:val="00DB0F13"/>
    <w:rsid w:val="00DB1129"/>
    <w:rsid w:val="00DB2523"/>
    <w:rsid w:val="00DB2799"/>
    <w:rsid w:val="00DB2E51"/>
    <w:rsid w:val="00DB3481"/>
    <w:rsid w:val="00DB3D64"/>
    <w:rsid w:val="00DB3FA0"/>
    <w:rsid w:val="00DB4315"/>
    <w:rsid w:val="00DB51BF"/>
    <w:rsid w:val="00DB57CF"/>
    <w:rsid w:val="00DB591D"/>
    <w:rsid w:val="00DB7297"/>
    <w:rsid w:val="00DB7EA3"/>
    <w:rsid w:val="00DC12E9"/>
    <w:rsid w:val="00DC1B24"/>
    <w:rsid w:val="00DC31CA"/>
    <w:rsid w:val="00DC3380"/>
    <w:rsid w:val="00DC377E"/>
    <w:rsid w:val="00DC3D43"/>
    <w:rsid w:val="00DC46D8"/>
    <w:rsid w:val="00DC4A10"/>
    <w:rsid w:val="00DC4B03"/>
    <w:rsid w:val="00DC7628"/>
    <w:rsid w:val="00DC7650"/>
    <w:rsid w:val="00DC779C"/>
    <w:rsid w:val="00DD1F07"/>
    <w:rsid w:val="00DD2B26"/>
    <w:rsid w:val="00DD3142"/>
    <w:rsid w:val="00DD3D08"/>
    <w:rsid w:val="00DD3E9C"/>
    <w:rsid w:val="00DD5778"/>
    <w:rsid w:val="00DD5A70"/>
    <w:rsid w:val="00DE0AE4"/>
    <w:rsid w:val="00DE0F36"/>
    <w:rsid w:val="00DE1477"/>
    <w:rsid w:val="00DE2D72"/>
    <w:rsid w:val="00DE37DF"/>
    <w:rsid w:val="00DE4A78"/>
    <w:rsid w:val="00DE4B6D"/>
    <w:rsid w:val="00DE67AF"/>
    <w:rsid w:val="00DE7668"/>
    <w:rsid w:val="00DE79C7"/>
    <w:rsid w:val="00DF04F0"/>
    <w:rsid w:val="00DF0766"/>
    <w:rsid w:val="00DF0F10"/>
    <w:rsid w:val="00DF10E1"/>
    <w:rsid w:val="00DF15A3"/>
    <w:rsid w:val="00DF217A"/>
    <w:rsid w:val="00DF2215"/>
    <w:rsid w:val="00DF2284"/>
    <w:rsid w:val="00DF28D7"/>
    <w:rsid w:val="00DF3045"/>
    <w:rsid w:val="00DF419D"/>
    <w:rsid w:val="00DF4707"/>
    <w:rsid w:val="00DF541B"/>
    <w:rsid w:val="00DF6A0D"/>
    <w:rsid w:val="00DF7A5D"/>
    <w:rsid w:val="00E00433"/>
    <w:rsid w:val="00E0068E"/>
    <w:rsid w:val="00E00D1C"/>
    <w:rsid w:val="00E022D9"/>
    <w:rsid w:val="00E02E1E"/>
    <w:rsid w:val="00E03149"/>
    <w:rsid w:val="00E03234"/>
    <w:rsid w:val="00E05191"/>
    <w:rsid w:val="00E062FE"/>
    <w:rsid w:val="00E0763E"/>
    <w:rsid w:val="00E07B24"/>
    <w:rsid w:val="00E10399"/>
    <w:rsid w:val="00E11065"/>
    <w:rsid w:val="00E11069"/>
    <w:rsid w:val="00E1127D"/>
    <w:rsid w:val="00E1178A"/>
    <w:rsid w:val="00E11BAC"/>
    <w:rsid w:val="00E12802"/>
    <w:rsid w:val="00E1282F"/>
    <w:rsid w:val="00E12A91"/>
    <w:rsid w:val="00E13C01"/>
    <w:rsid w:val="00E13E8E"/>
    <w:rsid w:val="00E14112"/>
    <w:rsid w:val="00E148A2"/>
    <w:rsid w:val="00E153F7"/>
    <w:rsid w:val="00E1635A"/>
    <w:rsid w:val="00E1731D"/>
    <w:rsid w:val="00E17DA4"/>
    <w:rsid w:val="00E20743"/>
    <w:rsid w:val="00E20C09"/>
    <w:rsid w:val="00E21731"/>
    <w:rsid w:val="00E21C07"/>
    <w:rsid w:val="00E2289E"/>
    <w:rsid w:val="00E24649"/>
    <w:rsid w:val="00E248C3"/>
    <w:rsid w:val="00E24D0E"/>
    <w:rsid w:val="00E25783"/>
    <w:rsid w:val="00E264EA"/>
    <w:rsid w:val="00E26860"/>
    <w:rsid w:val="00E27C8F"/>
    <w:rsid w:val="00E3237D"/>
    <w:rsid w:val="00E32BFB"/>
    <w:rsid w:val="00E341E3"/>
    <w:rsid w:val="00E35634"/>
    <w:rsid w:val="00E364EB"/>
    <w:rsid w:val="00E42EEB"/>
    <w:rsid w:val="00E431CC"/>
    <w:rsid w:val="00E43559"/>
    <w:rsid w:val="00E44459"/>
    <w:rsid w:val="00E47573"/>
    <w:rsid w:val="00E50086"/>
    <w:rsid w:val="00E508AB"/>
    <w:rsid w:val="00E51563"/>
    <w:rsid w:val="00E51D98"/>
    <w:rsid w:val="00E52525"/>
    <w:rsid w:val="00E52586"/>
    <w:rsid w:val="00E5320D"/>
    <w:rsid w:val="00E55909"/>
    <w:rsid w:val="00E5716C"/>
    <w:rsid w:val="00E573FA"/>
    <w:rsid w:val="00E60091"/>
    <w:rsid w:val="00E60721"/>
    <w:rsid w:val="00E60A4B"/>
    <w:rsid w:val="00E60F95"/>
    <w:rsid w:val="00E61100"/>
    <w:rsid w:val="00E61147"/>
    <w:rsid w:val="00E61BD1"/>
    <w:rsid w:val="00E6200C"/>
    <w:rsid w:val="00E62032"/>
    <w:rsid w:val="00E622B5"/>
    <w:rsid w:val="00E648A5"/>
    <w:rsid w:val="00E64F63"/>
    <w:rsid w:val="00E6566F"/>
    <w:rsid w:val="00E66BFE"/>
    <w:rsid w:val="00E72162"/>
    <w:rsid w:val="00E732DD"/>
    <w:rsid w:val="00E7356A"/>
    <w:rsid w:val="00E735AF"/>
    <w:rsid w:val="00E73796"/>
    <w:rsid w:val="00E74381"/>
    <w:rsid w:val="00E74960"/>
    <w:rsid w:val="00E74CB8"/>
    <w:rsid w:val="00E75A0A"/>
    <w:rsid w:val="00E77316"/>
    <w:rsid w:val="00E77A85"/>
    <w:rsid w:val="00E77F2D"/>
    <w:rsid w:val="00E802E4"/>
    <w:rsid w:val="00E809F5"/>
    <w:rsid w:val="00E8336E"/>
    <w:rsid w:val="00E842C7"/>
    <w:rsid w:val="00E854F0"/>
    <w:rsid w:val="00E856FF"/>
    <w:rsid w:val="00E90210"/>
    <w:rsid w:val="00E91A79"/>
    <w:rsid w:val="00E91B0F"/>
    <w:rsid w:val="00E92BEB"/>
    <w:rsid w:val="00E9309B"/>
    <w:rsid w:val="00E9418C"/>
    <w:rsid w:val="00E95DCF"/>
    <w:rsid w:val="00E9733B"/>
    <w:rsid w:val="00EA0491"/>
    <w:rsid w:val="00EA085F"/>
    <w:rsid w:val="00EA0C4E"/>
    <w:rsid w:val="00EA1184"/>
    <w:rsid w:val="00EA2502"/>
    <w:rsid w:val="00EA3D06"/>
    <w:rsid w:val="00EA4587"/>
    <w:rsid w:val="00EA46EB"/>
    <w:rsid w:val="00EA4E18"/>
    <w:rsid w:val="00EA61CC"/>
    <w:rsid w:val="00EA62B7"/>
    <w:rsid w:val="00EA7262"/>
    <w:rsid w:val="00EB038E"/>
    <w:rsid w:val="00EB1C0E"/>
    <w:rsid w:val="00EB1F2B"/>
    <w:rsid w:val="00EB23E0"/>
    <w:rsid w:val="00EB269B"/>
    <w:rsid w:val="00EB485B"/>
    <w:rsid w:val="00EB496D"/>
    <w:rsid w:val="00EB64A6"/>
    <w:rsid w:val="00EC0772"/>
    <w:rsid w:val="00EC08D2"/>
    <w:rsid w:val="00EC1E31"/>
    <w:rsid w:val="00EC2927"/>
    <w:rsid w:val="00EC2936"/>
    <w:rsid w:val="00EC452A"/>
    <w:rsid w:val="00EC6BD4"/>
    <w:rsid w:val="00ED00CE"/>
    <w:rsid w:val="00ED0155"/>
    <w:rsid w:val="00ED02EA"/>
    <w:rsid w:val="00ED07BF"/>
    <w:rsid w:val="00ED1E66"/>
    <w:rsid w:val="00ED26FB"/>
    <w:rsid w:val="00ED2C14"/>
    <w:rsid w:val="00ED31CF"/>
    <w:rsid w:val="00ED6538"/>
    <w:rsid w:val="00ED7822"/>
    <w:rsid w:val="00ED7F89"/>
    <w:rsid w:val="00EE126C"/>
    <w:rsid w:val="00EE136C"/>
    <w:rsid w:val="00EE15EA"/>
    <w:rsid w:val="00EE1A3F"/>
    <w:rsid w:val="00EE544B"/>
    <w:rsid w:val="00EE7512"/>
    <w:rsid w:val="00EF0345"/>
    <w:rsid w:val="00EF0718"/>
    <w:rsid w:val="00EF288B"/>
    <w:rsid w:val="00EF29D7"/>
    <w:rsid w:val="00EF2EA6"/>
    <w:rsid w:val="00EF5367"/>
    <w:rsid w:val="00EF59F3"/>
    <w:rsid w:val="00EF605B"/>
    <w:rsid w:val="00EF6645"/>
    <w:rsid w:val="00EF68C9"/>
    <w:rsid w:val="00EF725A"/>
    <w:rsid w:val="00EF7C92"/>
    <w:rsid w:val="00F017C6"/>
    <w:rsid w:val="00F02BBD"/>
    <w:rsid w:val="00F03787"/>
    <w:rsid w:val="00F03B82"/>
    <w:rsid w:val="00F03F6B"/>
    <w:rsid w:val="00F04A30"/>
    <w:rsid w:val="00F04B2D"/>
    <w:rsid w:val="00F060EB"/>
    <w:rsid w:val="00F06351"/>
    <w:rsid w:val="00F068B0"/>
    <w:rsid w:val="00F109B8"/>
    <w:rsid w:val="00F10BA5"/>
    <w:rsid w:val="00F10E6F"/>
    <w:rsid w:val="00F12DF8"/>
    <w:rsid w:val="00F14261"/>
    <w:rsid w:val="00F162EB"/>
    <w:rsid w:val="00F170D4"/>
    <w:rsid w:val="00F17B2A"/>
    <w:rsid w:val="00F2030A"/>
    <w:rsid w:val="00F20DC1"/>
    <w:rsid w:val="00F213AB"/>
    <w:rsid w:val="00F21FCF"/>
    <w:rsid w:val="00F2287C"/>
    <w:rsid w:val="00F2367F"/>
    <w:rsid w:val="00F2489E"/>
    <w:rsid w:val="00F25B5D"/>
    <w:rsid w:val="00F25C18"/>
    <w:rsid w:val="00F265D7"/>
    <w:rsid w:val="00F273B7"/>
    <w:rsid w:val="00F317B5"/>
    <w:rsid w:val="00F32A13"/>
    <w:rsid w:val="00F334CC"/>
    <w:rsid w:val="00F3467B"/>
    <w:rsid w:val="00F34B6F"/>
    <w:rsid w:val="00F34DA9"/>
    <w:rsid w:val="00F3561E"/>
    <w:rsid w:val="00F36022"/>
    <w:rsid w:val="00F36BD9"/>
    <w:rsid w:val="00F36C4E"/>
    <w:rsid w:val="00F373AB"/>
    <w:rsid w:val="00F37AC1"/>
    <w:rsid w:val="00F37E55"/>
    <w:rsid w:val="00F40670"/>
    <w:rsid w:val="00F40E32"/>
    <w:rsid w:val="00F416EE"/>
    <w:rsid w:val="00F426A5"/>
    <w:rsid w:val="00F42AD2"/>
    <w:rsid w:val="00F42E65"/>
    <w:rsid w:val="00F42E91"/>
    <w:rsid w:val="00F434C9"/>
    <w:rsid w:val="00F43DB3"/>
    <w:rsid w:val="00F44447"/>
    <w:rsid w:val="00F4454D"/>
    <w:rsid w:val="00F44751"/>
    <w:rsid w:val="00F451FE"/>
    <w:rsid w:val="00F46D77"/>
    <w:rsid w:val="00F475E8"/>
    <w:rsid w:val="00F47A75"/>
    <w:rsid w:val="00F50F5F"/>
    <w:rsid w:val="00F5117B"/>
    <w:rsid w:val="00F51792"/>
    <w:rsid w:val="00F52C50"/>
    <w:rsid w:val="00F52DC6"/>
    <w:rsid w:val="00F53D0B"/>
    <w:rsid w:val="00F540A3"/>
    <w:rsid w:val="00F54473"/>
    <w:rsid w:val="00F54A26"/>
    <w:rsid w:val="00F54FF3"/>
    <w:rsid w:val="00F5515B"/>
    <w:rsid w:val="00F5567C"/>
    <w:rsid w:val="00F561A9"/>
    <w:rsid w:val="00F56730"/>
    <w:rsid w:val="00F56B7F"/>
    <w:rsid w:val="00F56EFD"/>
    <w:rsid w:val="00F60B32"/>
    <w:rsid w:val="00F611B3"/>
    <w:rsid w:val="00F61940"/>
    <w:rsid w:val="00F6370F"/>
    <w:rsid w:val="00F644EE"/>
    <w:rsid w:val="00F645B5"/>
    <w:rsid w:val="00F66BEA"/>
    <w:rsid w:val="00F67346"/>
    <w:rsid w:val="00F678F6"/>
    <w:rsid w:val="00F704DD"/>
    <w:rsid w:val="00F70A5C"/>
    <w:rsid w:val="00F71CE9"/>
    <w:rsid w:val="00F72122"/>
    <w:rsid w:val="00F7413C"/>
    <w:rsid w:val="00F8084E"/>
    <w:rsid w:val="00F80D3C"/>
    <w:rsid w:val="00F80DF2"/>
    <w:rsid w:val="00F8273E"/>
    <w:rsid w:val="00F82E24"/>
    <w:rsid w:val="00F8313D"/>
    <w:rsid w:val="00F833FF"/>
    <w:rsid w:val="00F83AD6"/>
    <w:rsid w:val="00F84883"/>
    <w:rsid w:val="00F85182"/>
    <w:rsid w:val="00F85884"/>
    <w:rsid w:val="00F85BB7"/>
    <w:rsid w:val="00F86411"/>
    <w:rsid w:val="00F86B8B"/>
    <w:rsid w:val="00F877E1"/>
    <w:rsid w:val="00F91383"/>
    <w:rsid w:val="00F9151D"/>
    <w:rsid w:val="00F91850"/>
    <w:rsid w:val="00F9229F"/>
    <w:rsid w:val="00F9266F"/>
    <w:rsid w:val="00F9279A"/>
    <w:rsid w:val="00F92884"/>
    <w:rsid w:val="00F94797"/>
    <w:rsid w:val="00F9510B"/>
    <w:rsid w:val="00F958D6"/>
    <w:rsid w:val="00F96D45"/>
    <w:rsid w:val="00F96F37"/>
    <w:rsid w:val="00FA1363"/>
    <w:rsid w:val="00FA28F4"/>
    <w:rsid w:val="00FA3862"/>
    <w:rsid w:val="00FA388A"/>
    <w:rsid w:val="00FA4460"/>
    <w:rsid w:val="00FA47EB"/>
    <w:rsid w:val="00FA49A3"/>
    <w:rsid w:val="00FA4C1D"/>
    <w:rsid w:val="00FA4C8F"/>
    <w:rsid w:val="00FA5DE3"/>
    <w:rsid w:val="00FB0421"/>
    <w:rsid w:val="00FB1651"/>
    <w:rsid w:val="00FB2972"/>
    <w:rsid w:val="00FB30EF"/>
    <w:rsid w:val="00FB6752"/>
    <w:rsid w:val="00FB6F48"/>
    <w:rsid w:val="00FB7785"/>
    <w:rsid w:val="00FB77C7"/>
    <w:rsid w:val="00FB79F5"/>
    <w:rsid w:val="00FB7A49"/>
    <w:rsid w:val="00FC0089"/>
    <w:rsid w:val="00FC0417"/>
    <w:rsid w:val="00FC0A8C"/>
    <w:rsid w:val="00FC0DBB"/>
    <w:rsid w:val="00FC112E"/>
    <w:rsid w:val="00FC3ECD"/>
    <w:rsid w:val="00FC4953"/>
    <w:rsid w:val="00FC5F58"/>
    <w:rsid w:val="00FC6061"/>
    <w:rsid w:val="00FC6A04"/>
    <w:rsid w:val="00FC6A8C"/>
    <w:rsid w:val="00FC6B15"/>
    <w:rsid w:val="00FC7DF8"/>
    <w:rsid w:val="00FD0554"/>
    <w:rsid w:val="00FD257B"/>
    <w:rsid w:val="00FD3345"/>
    <w:rsid w:val="00FD3750"/>
    <w:rsid w:val="00FD44EE"/>
    <w:rsid w:val="00FD4886"/>
    <w:rsid w:val="00FD4CCC"/>
    <w:rsid w:val="00FD60AE"/>
    <w:rsid w:val="00FD6542"/>
    <w:rsid w:val="00FD6626"/>
    <w:rsid w:val="00FD7055"/>
    <w:rsid w:val="00FD716B"/>
    <w:rsid w:val="00FD7B3F"/>
    <w:rsid w:val="00FE004A"/>
    <w:rsid w:val="00FE1B21"/>
    <w:rsid w:val="00FE2804"/>
    <w:rsid w:val="00FE2CC8"/>
    <w:rsid w:val="00FE32F0"/>
    <w:rsid w:val="00FE4489"/>
    <w:rsid w:val="00FE664A"/>
    <w:rsid w:val="00FE73F4"/>
    <w:rsid w:val="00FF0341"/>
    <w:rsid w:val="00FF0436"/>
    <w:rsid w:val="00FF0646"/>
    <w:rsid w:val="00FF2283"/>
    <w:rsid w:val="00FF2B9C"/>
    <w:rsid w:val="00FF3030"/>
    <w:rsid w:val="00FF34FF"/>
    <w:rsid w:val="00FF4362"/>
    <w:rsid w:val="00FF4B8A"/>
    <w:rsid w:val="00FF62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style="mso-width-relative:margin;mso-height-relative:margin" fillcolor="white" stroke="f" strokecolor="none [3212]">
      <v:fill color="white"/>
      <v:stroke color="none [3212]" on="f"/>
    </o:shapedefaults>
    <o:shapelayout v:ext="edit">
      <o:idmap v:ext="edit" data="1"/>
    </o:shapelayout>
  </w:shapeDefaults>
  <w:decimalSymbol w:val="."/>
  <w:listSeparator w:val=","/>
  <w14:docId w14:val="71E35FE1"/>
  <w15:docId w15:val="{DB7C9D29-3915-44A2-847B-7CB1DFB5A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7A75"/>
    <w:rPr>
      <w:rFonts w:ascii="Times New Roman" w:hAnsi="Times New Roman"/>
      <w:sz w:val="24"/>
      <w:szCs w:val="22"/>
    </w:rPr>
  </w:style>
  <w:style w:type="paragraph" w:styleId="Heading1">
    <w:name w:val="heading 1"/>
    <w:basedOn w:val="Normal"/>
    <w:next w:val="Normal"/>
    <w:link w:val="Heading1Char"/>
    <w:uiPriority w:val="9"/>
    <w:qFormat/>
    <w:rsid w:val="00F47A75"/>
    <w:pPr>
      <w:keepNext/>
      <w:spacing w:before="240" w:after="60"/>
      <w:outlineLvl w:val="0"/>
    </w:pPr>
    <w:rPr>
      <w:rFonts w:eastAsia="Times New Roman"/>
      <w:b/>
      <w:bCs/>
      <w:kern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423383"/>
    <w:pPr>
      <w:widowControl w:val="0"/>
      <w:autoSpaceDE w:val="0"/>
      <w:autoSpaceDN w:val="0"/>
    </w:pPr>
    <w:rPr>
      <w:rFonts w:eastAsia="Times New Roman"/>
      <w:szCs w:val="24"/>
    </w:rPr>
  </w:style>
  <w:style w:type="character" w:customStyle="1" w:styleId="BodyTextChar">
    <w:name w:val="Body Text Char"/>
    <w:link w:val="BodyText"/>
    <w:uiPriority w:val="99"/>
    <w:rsid w:val="00423383"/>
    <w:rPr>
      <w:rFonts w:ascii="Times New Roman" w:eastAsia="Times New Roman" w:hAnsi="Times New Roman" w:cs="Times New Roman"/>
      <w:sz w:val="24"/>
      <w:szCs w:val="24"/>
    </w:rPr>
  </w:style>
  <w:style w:type="paragraph" w:styleId="ListParagraph">
    <w:name w:val="List Paragraph"/>
    <w:basedOn w:val="Normal"/>
    <w:uiPriority w:val="34"/>
    <w:qFormat/>
    <w:rsid w:val="0008223C"/>
    <w:pPr>
      <w:ind w:left="720"/>
    </w:pPr>
  </w:style>
  <w:style w:type="paragraph" w:styleId="FootnoteText">
    <w:name w:val="footnote text"/>
    <w:basedOn w:val="Normal"/>
    <w:link w:val="FootnoteTextChar"/>
    <w:unhideWhenUsed/>
    <w:rsid w:val="00F47A75"/>
    <w:rPr>
      <w:sz w:val="20"/>
      <w:szCs w:val="20"/>
    </w:rPr>
  </w:style>
  <w:style w:type="character" w:customStyle="1" w:styleId="FootnoteTextChar">
    <w:name w:val="Footnote Text Char"/>
    <w:link w:val="FootnoteText"/>
    <w:rsid w:val="00F47A75"/>
    <w:rPr>
      <w:rFonts w:ascii="Times New Roman" w:hAnsi="Times New Roman"/>
    </w:rPr>
  </w:style>
  <w:style w:type="character" w:styleId="FootnoteReference">
    <w:name w:val="footnote reference"/>
    <w:uiPriority w:val="99"/>
    <w:unhideWhenUsed/>
    <w:rsid w:val="004C7664"/>
    <w:rPr>
      <w:vertAlign w:val="superscript"/>
    </w:rPr>
  </w:style>
  <w:style w:type="paragraph" w:styleId="BalloonText">
    <w:name w:val="Balloon Text"/>
    <w:basedOn w:val="Normal"/>
    <w:link w:val="BalloonTextChar"/>
    <w:uiPriority w:val="99"/>
    <w:semiHidden/>
    <w:unhideWhenUsed/>
    <w:rsid w:val="00497E18"/>
    <w:rPr>
      <w:rFonts w:ascii="Tahoma" w:hAnsi="Tahoma"/>
      <w:sz w:val="16"/>
      <w:szCs w:val="16"/>
    </w:rPr>
  </w:style>
  <w:style w:type="character" w:customStyle="1" w:styleId="BalloonTextChar">
    <w:name w:val="Balloon Text Char"/>
    <w:link w:val="BalloonText"/>
    <w:uiPriority w:val="99"/>
    <w:semiHidden/>
    <w:rsid w:val="00497E18"/>
    <w:rPr>
      <w:rFonts w:ascii="Tahoma" w:hAnsi="Tahoma" w:cs="Tahoma"/>
      <w:sz w:val="16"/>
      <w:szCs w:val="16"/>
    </w:rPr>
  </w:style>
  <w:style w:type="paragraph" w:styleId="Header">
    <w:name w:val="header"/>
    <w:basedOn w:val="Normal"/>
    <w:link w:val="HeaderChar"/>
    <w:uiPriority w:val="99"/>
    <w:unhideWhenUsed/>
    <w:rsid w:val="00F611B3"/>
    <w:pPr>
      <w:tabs>
        <w:tab w:val="center" w:pos="4680"/>
        <w:tab w:val="right" w:pos="9360"/>
      </w:tabs>
    </w:pPr>
  </w:style>
  <w:style w:type="character" w:customStyle="1" w:styleId="HeaderChar">
    <w:name w:val="Header Char"/>
    <w:basedOn w:val="DefaultParagraphFont"/>
    <w:link w:val="Header"/>
    <w:uiPriority w:val="99"/>
    <w:rsid w:val="00F611B3"/>
  </w:style>
  <w:style w:type="paragraph" w:styleId="Footer">
    <w:name w:val="footer"/>
    <w:basedOn w:val="Normal"/>
    <w:link w:val="FooterChar"/>
    <w:uiPriority w:val="99"/>
    <w:unhideWhenUsed/>
    <w:rsid w:val="00F611B3"/>
    <w:pPr>
      <w:tabs>
        <w:tab w:val="center" w:pos="4680"/>
        <w:tab w:val="right" w:pos="9360"/>
      </w:tabs>
    </w:pPr>
  </w:style>
  <w:style w:type="character" w:customStyle="1" w:styleId="FooterChar">
    <w:name w:val="Footer Char"/>
    <w:basedOn w:val="DefaultParagraphFont"/>
    <w:link w:val="Footer"/>
    <w:uiPriority w:val="99"/>
    <w:rsid w:val="00F611B3"/>
  </w:style>
  <w:style w:type="table" w:styleId="TableGrid">
    <w:name w:val="Table Grid"/>
    <w:basedOn w:val="TableNormal"/>
    <w:uiPriority w:val="59"/>
    <w:rsid w:val="00D9451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aption">
    <w:name w:val="caption"/>
    <w:basedOn w:val="Normal"/>
    <w:next w:val="Normal"/>
    <w:uiPriority w:val="35"/>
    <w:unhideWhenUsed/>
    <w:qFormat/>
    <w:rsid w:val="00D94511"/>
    <w:pPr>
      <w:spacing w:after="200"/>
    </w:pPr>
    <w:rPr>
      <w:b/>
      <w:bCs/>
      <w:color w:val="4F81BD"/>
      <w:sz w:val="18"/>
      <w:szCs w:val="18"/>
    </w:rPr>
  </w:style>
  <w:style w:type="character" w:styleId="Hyperlink">
    <w:name w:val="Hyperlink"/>
    <w:uiPriority w:val="99"/>
    <w:unhideWhenUsed/>
    <w:rsid w:val="00792046"/>
    <w:rPr>
      <w:color w:val="0000FF"/>
      <w:u w:val="single"/>
    </w:rPr>
  </w:style>
  <w:style w:type="character" w:styleId="CommentReference">
    <w:name w:val="annotation reference"/>
    <w:uiPriority w:val="99"/>
    <w:semiHidden/>
    <w:unhideWhenUsed/>
    <w:rsid w:val="00BB7014"/>
    <w:rPr>
      <w:sz w:val="16"/>
      <w:szCs w:val="16"/>
    </w:rPr>
  </w:style>
  <w:style w:type="paragraph" w:styleId="CommentText">
    <w:name w:val="annotation text"/>
    <w:basedOn w:val="Normal"/>
    <w:link w:val="CommentTextChar"/>
    <w:uiPriority w:val="99"/>
    <w:unhideWhenUsed/>
    <w:rsid w:val="00BB7014"/>
    <w:rPr>
      <w:rFonts w:ascii="Calibri" w:hAnsi="Calibri"/>
      <w:sz w:val="20"/>
      <w:szCs w:val="20"/>
    </w:rPr>
  </w:style>
  <w:style w:type="character" w:customStyle="1" w:styleId="CommentTextChar">
    <w:name w:val="Comment Text Char"/>
    <w:link w:val="CommentText"/>
    <w:uiPriority w:val="99"/>
    <w:rsid w:val="00BB7014"/>
    <w:rPr>
      <w:sz w:val="20"/>
      <w:szCs w:val="20"/>
    </w:rPr>
  </w:style>
  <w:style w:type="paragraph" w:styleId="CommentSubject">
    <w:name w:val="annotation subject"/>
    <w:basedOn w:val="CommentText"/>
    <w:next w:val="CommentText"/>
    <w:link w:val="CommentSubjectChar"/>
    <w:uiPriority w:val="99"/>
    <w:semiHidden/>
    <w:unhideWhenUsed/>
    <w:rsid w:val="00BB7014"/>
    <w:rPr>
      <w:b/>
      <w:bCs/>
    </w:rPr>
  </w:style>
  <w:style w:type="character" w:customStyle="1" w:styleId="CommentSubjectChar">
    <w:name w:val="Comment Subject Char"/>
    <w:link w:val="CommentSubject"/>
    <w:uiPriority w:val="99"/>
    <w:semiHidden/>
    <w:rsid w:val="00BB7014"/>
    <w:rPr>
      <w:b/>
      <w:bCs/>
      <w:sz w:val="20"/>
      <w:szCs w:val="20"/>
    </w:rPr>
  </w:style>
  <w:style w:type="character" w:styleId="Strong">
    <w:name w:val="Strong"/>
    <w:uiPriority w:val="22"/>
    <w:qFormat/>
    <w:rsid w:val="00C20FA1"/>
    <w:rPr>
      <w:b/>
      <w:bCs/>
    </w:rPr>
  </w:style>
  <w:style w:type="paragraph" w:styleId="MessageHeader">
    <w:name w:val="Message Header"/>
    <w:basedOn w:val="Normal"/>
    <w:link w:val="MessageHeaderChar"/>
    <w:semiHidden/>
    <w:rsid w:val="00B55D26"/>
    <w:pPr>
      <w:keepLines/>
      <w:spacing w:after="120" w:line="240" w:lineRule="atLeast"/>
      <w:ind w:left="1080" w:hanging="1080"/>
    </w:pPr>
    <w:rPr>
      <w:rFonts w:ascii="Garamond" w:eastAsia="Times New Roman" w:hAnsi="Garamond"/>
      <w:caps/>
      <w:sz w:val="18"/>
      <w:szCs w:val="20"/>
    </w:rPr>
  </w:style>
  <w:style w:type="character" w:customStyle="1" w:styleId="MessageHeaderChar">
    <w:name w:val="Message Header Char"/>
    <w:link w:val="MessageHeader"/>
    <w:semiHidden/>
    <w:rsid w:val="00B55D26"/>
    <w:rPr>
      <w:rFonts w:ascii="Garamond" w:eastAsia="Times New Roman" w:hAnsi="Garamond" w:cs="Times New Roman"/>
      <w:caps/>
      <w:sz w:val="18"/>
      <w:szCs w:val="20"/>
    </w:rPr>
  </w:style>
  <w:style w:type="character" w:customStyle="1" w:styleId="MessageHeaderLabel">
    <w:name w:val="Message Header Label"/>
    <w:rsid w:val="00B55D26"/>
    <w:rPr>
      <w:b/>
      <w:sz w:val="18"/>
    </w:rPr>
  </w:style>
  <w:style w:type="paragraph" w:customStyle="1" w:styleId="Default">
    <w:name w:val="Default"/>
    <w:rsid w:val="00092DA1"/>
    <w:pPr>
      <w:autoSpaceDE w:val="0"/>
      <w:autoSpaceDN w:val="0"/>
      <w:adjustRightInd w:val="0"/>
    </w:pPr>
    <w:rPr>
      <w:rFonts w:ascii="Times New Roman" w:hAnsi="Times New Roman"/>
      <w:color w:val="000000"/>
      <w:sz w:val="24"/>
      <w:szCs w:val="24"/>
    </w:rPr>
  </w:style>
  <w:style w:type="paragraph" w:styleId="PlainText">
    <w:name w:val="Plain Text"/>
    <w:basedOn w:val="Normal"/>
    <w:link w:val="PlainTextChar"/>
    <w:uiPriority w:val="99"/>
    <w:unhideWhenUsed/>
    <w:rsid w:val="00A66922"/>
    <w:rPr>
      <w:rFonts w:ascii="Arial" w:eastAsia="Times New Roman" w:hAnsi="Arial"/>
      <w:sz w:val="20"/>
      <w:szCs w:val="21"/>
    </w:rPr>
  </w:style>
  <w:style w:type="character" w:customStyle="1" w:styleId="PlainTextChar">
    <w:name w:val="Plain Text Char"/>
    <w:link w:val="PlainText"/>
    <w:uiPriority w:val="99"/>
    <w:rsid w:val="00A66922"/>
    <w:rPr>
      <w:rFonts w:ascii="Arial" w:eastAsia="Times New Roman" w:hAnsi="Arial"/>
      <w:szCs w:val="21"/>
    </w:rPr>
  </w:style>
  <w:style w:type="paragraph" w:customStyle="1" w:styleId="CM7">
    <w:name w:val="CM7"/>
    <w:basedOn w:val="Default"/>
    <w:next w:val="Default"/>
    <w:uiPriority w:val="99"/>
    <w:rsid w:val="002A0970"/>
    <w:rPr>
      <w:rFonts w:eastAsia="Times New Roman"/>
      <w:color w:val="auto"/>
    </w:rPr>
  </w:style>
  <w:style w:type="character" w:styleId="FollowedHyperlink">
    <w:name w:val="FollowedHyperlink"/>
    <w:uiPriority w:val="99"/>
    <w:semiHidden/>
    <w:unhideWhenUsed/>
    <w:rsid w:val="00751748"/>
    <w:rPr>
      <w:color w:val="800080"/>
      <w:u w:val="single"/>
    </w:rPr>
  </w:style>
  <w:style w:type="paragraph" w:styleId="EndnoteText">
    <w:name w:val="endnote text"/>
    <w:basedOn w:val="Normal"/>
    <w:link w:val="EndnoteTextChar"/>
    <w:uiPriority w:val="99"/>
    <w:semiHidden/>
    <w:unhideWhenUsed/>
    <w:rsid w:val="00EA46EB"/>
    <w:rPr>
      <w:sz w:val="20"/>
      <w:szCs w:val="20"/>
    </w:rPr>
  </w:style>
  <w:style w:type="character" w:customStyle="1" w:styleId="EndnoteTextChar">
    <w:name w:val="Endnote Text Char"/>
    <w:basedOn w:val="DefaultParagraphFont"/>
    <w:link w:val="EndnoteText"/>
    <w:uiPriority w:val="99"/>
    <w:semiHidden/>
    <w:rsid w:val="00EA46EB"/>
  </w:style>
  <w:style w:type="character" w:styleId="EndnoteReference">
    <w:name w:val="endnote reference"/>
    <w:uiPriority w:val="99"/>
    <w:semiHidden/>
    <w:unhideWhenUsed/>
    <w:rsid w:val="00EA46EB"/>
    <w:rPr>
      <w:vertAlign w:val="superscript"/>
    </w:rPr>
  </w:style>
  <w:style w:type="character" w:customStyle="1" w:styleId="Heading1Char">
    <w:name w:val="Heading 1 Char"/>
    <w:basedOn w:val="DefaultParagraphFont"/>
    <w:link w:val="Heading1"/>
    <w:uiPriority w:val="9"/>
    <w:rsid w:val="00F47A75"/>
    <w:rPr>
      <w:rFonts w:ascii="Times New Roman" w:eastAsia="Times New Roman" w:hAnsi="Times New Roman" w:cs="Times New Roman"/>
      <w:b/>
      <w:bCs/>
      <w:kern w:val="32"/>
      <w:sz w:val="24"/>
      <w:szCs w:val="32"/>
    </w:rPr>
  </w:style>
  <w:style w:type="character" w:styleId="LineNumber">
    <w:name w:val="line number"/>
    <w:basedOn w:val="DefaultParagraphFont"/>
    <w:uiPriority w:val="99"/>
    <w:semiHidden/>
    <w:unhideWhenUsed/>
    <w:rsid w:val="005303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579380">
      <w:bodyDiv w:val="1"/>
      <w:marLeft w:val="0"/>
      <w:marRight w:val="0"/>
      <w:marTop w:val="0"/>
      <w:marBottom w:val="0"/>
      <w:divBdr>
        <w:top w:val="none" w:sz="0" w:space="0" w:color="auto"/>
        <w:left w:val="none" w:sz="0" w:space="0" w:color="auto"/>
        <w:bottom w:val="none" w:sz="0" w:space="0" w:color="auto"/>
        <w:right w:val="none" w:sz="0" w:space="0" w:color="auto"/>
      </w:divBdr>
    </w:div>
    <w:div w:id="122042858">
      <w:bodyDiv w:val="1"/>
      <w:marLeft w:val="0"/>
      <w:marRight w:val="0"/>
      <w:marTop w:val="0"/>
      <w:marBottom w:val="0"/>
      <w:divBdr>
        <w:top w:val="none" w:sz="0" w:space="0" w:color="auto"/>
        <w:left w:val="none" w:sz="0" w:space="0" w:color="auto"/>
        <w:bottom w:val="none" w:sz="0" w:space="0" w:color="auto"/>
        <w:right w:val="none" w:sz="0" w:space="0" w:color="auto"/>
      </w:divBdr>
    </w:div>
    <w:div w:id="169412416">
      <w:bodyDiv w:val="1"/>
      <w:marLeft w:val="0"/>
      <w:marRight w:val="0"/>
      <w:marTop w:val="0"/>
      <w:marBottom w:val="0"/>
      <w:divBdr>
        <w:top w:val="none" w:sz="0" w:space="0" w:color="auto"/>
        <w:left w:val="none" w:sz="0" w:space="0" w:color="auto"/>
        <w:bottom w:val="none" w:sz="0" w:space="0" w:color="auto"/>
        <w:right w:val="none" w:sz="0" w:space="0" w:color="auto"/>
      </w:divBdr>
    </w:div>
    <w:div w:id="214004490">
      <w:bodyDiv w:val="1"/>
      <w:marLeft w:val="0"/>
      <w:marRight w:val="0"/>
      <w:marTop w:val="0"/>
      <w:marBottom w:val="0"/>
      <w:divBdr>
        <w:top w:val="none" w:sz="0" w:space="0" w:color="auto"/>
        <w:left w:val="none" w:sz="0" w:space="0" w:color="auto"/>
        <w:bottom w:val="none" w:sz="0" w:space="0" w:color="auto"/>
        <w:right w:val="none" w:sz="0" w:space="0" w:color="auto"/>
      </w:divBdr>
    </w:div>
    <w:div w:id="251939431">
      <w:bodyDiv w:val="1"/>
      <w:marLeft w:val="0"/>
      <w:marRight w:val="0"/>
      <w:marTop w:val="0"/>
      <w:marBottom w:val="0"/>
      <w:divBdr>
        <w:top w:val="none" w:sz="0" w:space="0" w:color="auto"/>
        <w:left w:val="none" w:sz="0" w:space="0" w:color="auto"/>
        <w:bottom w:val="none" w:sz="0" w:space="0" w:color="auto"/>
        <w:right w:val="none" w:sz="0" w:space="0" w:color="auto"/>
      </w:divBdr>
    </w:div>
    <w:div w:id="319113303">
      <w:bodyDiv w:val="1"/>
      <w:marLeft w:val="0"/>
      <w:marRight w:val="0"/>
      <w:marTop w:val="0"/>
      <w:marBottom w:val="0"/>
      <w:divBdr>
        <w:top w:val="none" w:sz="0" w:space="0" w:color="auto"/>
        <w:left w:val="none" w:sz="0" w:space="0" w:color="auto"/>
        <w:bottom w:val="none" w:sz="0" w:space="0" w:color="auto"/>
        <w:right w:val="none" w:sz="0" w:space="0" w:color="auto"/>
      </w:divBdr>
    </w:div>
    <w:div w:id="453600405">
      <w:bodyDiv w:val="1"/>
      <w:marLeft w:val="0"/>
      <w:marRight w:val="0"/>
      <w:marTop w:val="0"/>
      <w:marBottom w:val="0"/>
      <w:divBdr>
        <w:top w:val="none" w:sz="0" w:space="0" w:color="auto"/>
        <w:left w:val="none" w:sz="0" w:space="0" w:color="auto"/>
        <w:bottom w:val="none" w:sz="0" w:space="0" w:color="auto"/>
        <w:right w:val="none" w:sz="0" w:space="0" w:color="auto"/>
      </w:divBdr>
    </w:div>
    <w:div w:id="460654912">
      <w:bodyDiv w:val="1"/>
      <w:marLeft w:val="0"/>
      <w:marRight w:val="0"/>
      <w:marTop w:val="0"/>
      <w:marBottom w:val="0"/>
      <w:divBdr>
        <w:top w:val="none" w:sz="0" w:space="0" w:color="auto"/>
        <w:left w:val="none" w:sz="0" w:space="0" w:color="auto"/>
        <w:bottom w:val="none" w:sz="0" w:space="0" w:color="auto"/>
        <w:right w:val="none" w:sz="0" w:space="0" w:color="auto"/>
      </w:divBdr>
    </w:div>
    <w:div w:id="554656526">
      <w:bodyDiv w:val="1"/>
      <w:marLeft w:val="0"/>
      <w:marRight w:val="0"/>
      <w:marTop w:val="0"/>
      <w:marBottom w:val="0"/>
      <w:divBdr>
        <w:top w:val="none" w:sz="0" w:space="0" w:color="auto"/>
        <w:left w:val="none" w:sz="0" w:space="0" w:color="auto"/>
        <w:bottom w:val="none" w:sz="0" w:space="0" w:color="auto"/>
        <w:right w:val="none" w:sz="0" w:space="0" w:color="auto"/>
      </w:divBdr>
    </w:div>
    <w:div w:id="597713667">
      <w:bodyDiv w:val="1"/>
      <w:marLeft w:val="0"/>
      <w:marRight w:val="0"/>
      <w:marTop w:val="0"/>
      <w:marBottom w:val="0"/>
      <w:divBdr>
        <w:top w:val="none" w:sz="0" w:space="0" w:color="auto"/>
        <w:left w:val="none" w:sz="0" w:space="0" w:color="auto"/>
        <w:bottom w:val="none" w:sz="0" w:space="0" w:color="auto"/>
        <w:right w:val="none" w:sz="0" w:space="0" w:color="auto"/>
      </w:divBdr>
    </w:div>
    <w:div w:id="601568798">
      <w:bodyDiv w:val="1"/>
      <w:marLeft w:val="0"/>
      <w:marRight w:val="0"/>
      <w:marTop w:val="0"/>
      <w:marBottom w:val="0"/>
      <w:divBdr>
        <w:top w:val="none" w:sz="0" w:space="0" w:color="auto"/>
        <w:left w:val="none" w:sz="0" w:space="0" w:color="auto"/>
        <w:bottom w:val="none" w:sz="0" w:space="0" w:color="auto"/>
        <w:right w:val="none" w:sz="0" w:space="0" w:color="auto"/>
      </w:divBdr>
    </w:div>
    <w:div w:id="639384685">
      <w:bodyDiv w:val="1"/>
      <w:marLeft w:val="0"/>
      <w:marRight w:val="0"/>
      <w:marTop w:val="0"/>
      <w:marBottom w:val="0"/>
      <w:divBdr>
        <w:top w:val="none" w:sz="0" w:space="0" w:color="auto"/>
        <w:left w:val="none" w:sz="0" w:space="0" w:color="auto"/>
        <w:bottom w:val="none" w:sz="0" w:space="0" w:color="auto"/>
        <w:right w:val="none" w:sz="0" w:space="0" w:color="auto"/>
      </w:divBdr>
    </w:div>
    <w:div w:id="672535337">
      <w:bodyDiv w:val="1"/>
      <w:marLeft w:val="0"/>
      <w:marRight w:val="0"/>
      <w:marTop w:val="0"/>
      <w:marBottom w:val="0"/>
      <w:divBdr>
        <w:top w:val="none" w:sz="0" w:space="0" w:color="auto"/>
        <w:left w:val="none" w:sz="0" w:space="0" w:color="auto"/>
        <w:bottom w:val="none" w:sz="0" w:space="0" w:color="auto"/>
        <w:right w:val="none" w:sz="0" w:space="0" w:color="auto"/>
      </w:divBdr>
    </w:div>
    <w:div w:id="676538089">
      <w:bodyDiv w:val="1"/>
      <w:marLeft w:val="0"/>
      <w:marRight w:val="0"/>
      <w:marTop w:val="0"/>
      <w:marBottom w:val="0"/>
      <w:divBdr>
        <w:top w:val="none" w:sz="0" w:space="0" w:color="auto"/>
        <w:left w:val="none" w:sz="0" w:space="0" w:color="auto"/>
        <w:bottom w:val="none" w:sz="0" w:space="0" w:color="auto"/>
        <w:right w:val="none" w:sz="0" w:space="0" w:color="auto"/>
      </w:divBdr>
    </w:div>
    <w:div w:id="720522914">
      <w:bodyDiv w:val="1"/>
      <w:marLeft w:val="0"/>
      <w:marRight w:val="0"/>
      <w:marTop w:val="0"/>
      <w:marBottom w:val="0"/>
      <w:divBdr>
        <w:top w:val="none" w:sz="0" w:space="0" w:color="auto"/>
        <w:left w:val="none" w:sz="0" w:space="0" w:color="auto"/>
        <w:bottom w:val="none" w:sz="0" w:space="0" w:color="auto"/>
        <w:right w:val="none" w:sz="0" w:space="0" w:color="auto"/>
      </w:divBdr>
    </w:div>
    <w:div w:id="729841421">
      <w:bodyDiv w:val="1"/>
      <w:marLeft w:val="0"/>
      <w:marRight w:val="0"/>
      <w:marTop w:val="0"/>
      <w:marBottom w:val="0"/>
      <w:divBdr>
        <w:top w:val="none" w:sz="0" w:space="0" w:color="auto"/>
        <w:left w:val="none" w:sz="0" w:space="0" w:color="auto"/>
        <w:bottom w:val="none" w:sz="0" w:space="0" w:color="auto"/>
        <w:right w:val="none" w:sz="0" w:space="0" w:color="auto"/>
      </w:divBdr>
    </w:div>
    <w:div w:id="742796877">
      <w:bodyDiv w:val="1"/>
      <w:marLeft w:val="0"/>
      <w:marRight w:val="0"/>
      <w:marTop w:val="0"/>
      <w:marBottom w:val="0"/>
      <w:divBdr>
        <w:top w:val="none" w:sz="0" w:space="0" w:color="auto"/>
        <w:left w:val="none" w:sz="0" w:space="0" w:color="auto"/>
        <w:bottom w:val="none" w:sz="0" w:space="0" w:color="auto"/>
        <w:right w:val="none" w:sz="0" w:space="0" w:color="auto"/>
      </w:divBdr>
    </w:div>
    <w:div w:id="783697621">
      <w:bodyDiv w:val="1"/>
      <w:marLeft w:val="0"/>
      <w:marRight w:val="0"/>
      <w:marTop w:val="0"/>
      <w:marBottom w:val="0"/>
      <w:divBdr>
        <w:top w:val="none" w:sz="0" w:space="0" w:color="auto"/>
        <w:left w:val="none" w:sz="0" w:space="0" w:color="auto"/>
        <w:bottom w:val="none" w:sz="0" w:space="0" w:color="auto"/>
        <w:right w:val="none" w:sz="0" w:space="0" w:color="auto"/>
      </w:divBdr>
    </w:div>
    <w:div w:id="872962567">
      <w:bodyDiv w:val="1"/>
      <w:marLeft w:val="0"/>
      <w:marRight w:val="0"/>
      <w:marTop w:val="0"/>
      <w:marBottom w:val="0"/>
      <w:divBdr>
        <w:top w:val="none" w:sz="0" w:space="0" w:color="auto"/>
        <w:left w:val="none" w:sz="0" w:space="0" w:color="auto"/>
        <w:bottom w:val="none" w:sz="0" w:space="0" w:color="auto"/>
        <w:right w:val="none" w:sz="0" w:space="0" w:color="auto"/>
      </w:divBdr>
    </w:div>
    <w:div w:id="879708737">
      <w:bodyDiv w:val="1"/>
      <w:marLeft w:val="0"/>
      <w:marRight w:val="0"/>
      <w:marTop w:val="0"/>
      <w:marBottom w:val="0"/>
      <w:divBdr>
        <w:top w:val="none" w:sz="0" w:space="0" w:color="auto"/>
        <w:left w:val="none" w:sz="0" w:space="0" w:color="auto"/>
        <w:bottom w:val="none" w:sz="0" w:space="0" w:color="auto"/>
        <w:right w:val="none" w:sz="0" w:space="0" w:color="auto"/>
      </w:divBdr>
    </w:div>
    <w:div w:id="899251995">
      <w:bodyDiv w:val="1"/>
      <w:marLeft w:val="0"/>
      <w:marRight w:val="0"/>
      <w:marTop w:val="0"/>
      <w:marBottom w:val="0"/>
      <w:divBdr>
        <w:top w:val="none" w:sz="0" w:space="0" w:color="auto"/>
        <w:left w:val="none" w:sz="0" w:space="0" w:color="auto"/>
        <w:bottom w:val="none" w:sz="0" w:space="0" w:color="auto"/>
        <w:right w:val="none" w:sz="0" w:space="0" w:color="auto"/>
      </w:divBdr>
    </w:div>
    <w:div w:id="949315088">
      <w:bodyDiv w:val="1"/>
      <w:marLeft w:val="0"/>
      <w:marRight w:val="0"/>
      <w:marTop w:val="0"/>
      <w:marBottom w:val="0"/>
      <w:divBdr>
        <w:top w:val="none" w:sz="0" w:space="0" w:color="auto"/>
        <w:left w:val="none" w:sz="0" w:space="0" w:color="auto"/>
        <w:bottom w:val="none" w:sz="0" w:space="0" w:color="auto"/>
        <w:right w:val="none" w:sz="0" w:space="0" w:color="auto"/>
      </w:divBdr>
    </w:div>
    <w:div w:id="988291800">
      <w:bodyDiv w:val="1"/>
      <w:marLeft w:val="0"/>
      <w:marRight w:val="0"/>
      <w:marTop w:val="0"/>
      <w:marBottom w:val="0"/>
      <w:divBdr>
        <w:top w:val="none" w:sz="0" w:space="0" w:color="auto"/>
        <w:left w:val="none" w:sz="0" w:space="0" w:color="auto"/>
        <w:bottom w:val="none" w:sz="0" w:space="0" w:color="auto"/>
        <w:right w:val="none" w:sz="0" w:space="0" w:color="auto"/>
      </w:divBdr>
    </w:div>
    <w:div w:id="1000088167">
      <w:bodyDiv w:val="1"/>
      <w:marLeft w:val="0"/>
      <w:marRight w:val="0"/>
      <w:marTop w:val="0"/>
      <w:marBottom w:val="0"/>
      <w:divBdr>
        <w:top w:val="none" w:sz="0" w:space="0" w:color="auto"/>
        <w:left w:val="none" w:sz="0" w:space="0" w:color="auto"/>
        <w:bottom w:val="none" w:sz="0" w:space="0" w:color="auto"/>
        <w:right w:val="none" w:sz="0" w:space="0" w:color="auto"/>
      </w:divBdr>
    </w:div>
    <w:div w:id="1004361384">
      <w:bodyDiv w:val="1"/>
      <w:marLeft w:val="0"/>
      <w:marRight w:val="0"/>
      <w:marTop w:val="0"/>
      <w:marBottom w:val="0"/>
      <w:divBdr>
        <w:top w:val="none" w:sz="0" w:space="0" w:color="auto"/>
        <w:left w:val="none" w:sz="0" w:space="0" w:color="auto"/>
        <w:bottom w:val="none" w:sz="0" w:space="0" w:color="auto"/>
        <w:right w:val="none" w:sz="0" w:space="0" w:color="auto"/>
      </w:divBdr>
    </w:div>
    <w:div w:id="1004479647">
      <w:bodyDiv w:val="1"/>
      <w:marLeft w:val="0"/>
      <w:marRight w:val="0"/>
      <w:marTop w:val="0"/>
      <w:marBottom w:val="0"/>
      <w:divBdr>
        <w:top w:val="none" w:sz="0" w:space="0" w:color="auto"/>
        <w:left w:val="none" w:sz="0" w:space="0" w:color="auto"/>
        <w:bottom w:val="none" w:sz="0" w:space="0" w:color="auto"/>
        <w:right w:val="none" w:sz="0" w:space="0" w:color="auto"/>
      </w:divBdr>
    </w:div>
    <w:div w:id="1059936693">
      <w:bodyDiv w:val="1"/>
      <w:marLeft w:val="0"/>
      <w:marRight w:val="0"/>
      <w:marTop w:val="0"/>
      <w:marBottom w:val="0"/>
      <w:divBdr>
        <w:top w:val="none" w:sz="0" w:space="0" w:color="auto"/>
        <w:left w:val="none" w:sz="0" w:space="0" w:color="auto"/>
        <w:bottom w:val="none" w:sz="0" w:space="0" w:color="auto"/>
        <w:right w:val="none" w:sz="0" w:space="0" w:color="auto"/>
      </w:divBdr>
    </w:div>
    <w:div w:id="1118257796">
      <w:bodyDiv w:val="1"/>
      <w:marLeft w:val="0"/>
      <w:marRight w:val="0"/>
      <w:marTop w:val="0"/>
      <w:marBottom w:val="0"/>
      <w:divBdr>
        <w:top w:val="none" w:sz="0" w:space="0" w:color="auto"/>
        <w:left w:val="none" w:sz="0" w:space="0" w:color="auto"/>
        <w:bottom w:val="none" w:sz="0" w:space="0" w:color="auto"/>
        <w:right w:val="none" w:sz="0" w:space="0" w:color="auto"/>
      </w:divBdr>
    </w:div>
    <w:div w:id="1142845472">
      <w:bodyDiv w:val="1"/>
      <w:marLeft w:val="0"/>
      <w:marRight w:val="0"/>
      <w:marTop w:val="0"/>
      <w:marBottom w:val="0"/>
      <w:divBdr>
        <w:top w:val="none" w:sz="0" w:space="0" w:color="auto"/>
        <w:left w:val="none" w:sz="0" w:space="0" w:color="auto"/>
        <w:bottom w:val="none" w:sz="0" w:space="0" w:color="auto"/>
        <w:right w:val="none" w:sz="0" w:space="0" w:color="auto"/>
      </w:divBdr>
    </w:div>
    <w:div w:id="1232082160">
      <w:bodyDiv w:val="1"/>
      <w:marLeft w:val="0"/>
      <w:marRight w:val="0"/>
      <w:marTop w:val="0"/>
      <w:marBottom w:val="0"/>
      <w:divBdr>
        <w:top w:val="none" w:sz="0" w:space="0" w:color="auto"/>
        <w:left w:val="none" w:sz="0" w:space="0" w:color="auto"/>
        <w:bottom w:val="none" w:sz="0" w:space="0" w:color="auto"/>
        <w:right w:val="none" w:sz="0" w:space="0" w:color="auto"/>
      </w:divBdr>
    </w:div>
    <w:div w:id="1311448175">
      <w:bodyDiv w:val="1"/>
      <w:marLeft w:val="0"/>
      <w:marRight w:val="0"/>
      <w:marTop w:val="0"/>
      <w:marBottom w:val="0"/>
      <w:divBdr>
        <w:top w:val="none" w:sz="0" w:space="0" w:color="auto"/>
        <w:left w:val="none" w:sz="0" w:space="0" w:color="auto"/>
        <w:bottom w:val="none" w:sz="0" w:space="0" w:color="auto"/>
        <w:right w:val="none" w:sz="0" w:space="0" w:color="auto"/>
      </w:divBdr>
    </w:div>
    <w:div w:id="1356080068">
      <w:bodyDiv w:val="1"/>
      <w:marLeft w:val="0"/>
      <w:marRight w:val="0"/>
      <w:marTop w:val="0"/>
      <w:marBottom w:val="0"/>
      <w:divBdr>
        <w:top w:val="none" w:sz="0" w:space="0" w:color="auto"/>
        <w:left w:val="none" w:sz="0" w:space="0" w:color="auto"/>
        <w:bottom w:val="none" w:sz="0" w:space="0" w:color="auto"/>
        <w:right w:val="none" w:sz="0" w:space="0" w:color="auto"/>
      </w:divBdr>
    </w:div>
    <w:div w:id="1365011324">
      <w:bodyDiv w:val="1"/>
      <w:marLeft w:val="0"/>
      <w:marRight w:val="0"/>
      <w:marTop w:val="0"/>
      <w:marBottom w:val="0"/>
      <w:divBdr>
        <w:top w:val="none" w:sz="0" w:space="0" w:color="auto"/>
        <w:left w:val="none" w:sz="0" w:space="0" w:color="auto"/>
        <w:bottom w:val="none" w:sz="0" w:space="0" w:color="auto"/>
        <w:right w:val="none" w:sz="0" w:space="0" w:color="auto"/>
      </w:divBdr>
    </w:div>
    <w:div w:id="1484472269">
      <w:bodyDiv w:val="1"/>
      <w:marLeft w:val="0"/>
      <w:marRight w:val="0"/>
      <w:marTop w:val="0"/>
      <w:marBottom w:val="0"/>
      <w:divBdr>
        <w:top w:val="none" w:sz="0" w:space="0" w:color="auto"/>
        <w:left w:val="none" w:sz="0" w:space="0" w:color="auto"/>
        <w:bottom w:val="none" w:sz="0" w:space="0" w:color="auto"/>
        <w:right w:val="none" w:sz="0" w:space="0" w:color="auto"/>
      </w:divBdr>
    </w:div>
    <w:div w:id="1555191502">
      <w:bodyDiv w:val="1"/>
      <w:marLeft w:val="0"/>
      <w:marRight w:val="0"/>
      <w:marTop w:val="0"/>
      <w:marBottom w:val="0"/>
      <w:divBdr>
        <w:top w:val="none" w:sz="0" w:space="0" w:color="auto"/>
        <w:left w:val="none" w:sz="0" w:space="0" w:color="auto"/>
        <w:bottom w:val="none" w:sz="0" w:space="0" w:color="auto"/>
        <w:right w:val="none" w:sz="0" w:space="0" w:color="auto"/>
      </w:divBdr>
    </w:div>
    <w:div w:id="1567642470">
      <w:bodyDiv w:val="1"/>
      <w:marLeft w:val="0"/>
      <w:marRight w:val="0"/>
      <w:marTop w:val="0"/>
      <w:marBottom w:val="0"/>
      <w:divBdr>
        <w:top w:val="none" w:sz="0" w:space="0" w:color="auto"/>
        <w:left w:val="none" w:sz="0" w:space="0" w:color="auto"/>
        <w:bottom w:val="none" w:sz="0" w:space="0" w:color="auto"/>
        <w:right w:val="none" w:sz="0" w:space="0" w:color="auto"/>
      </w:divBdr>
    </w:div>
    <w:div w:id="1608152071">
      <w:bodyDiv w:val="1"/>
      <w:marLeft w:val="0"/>
      <w:marRight w:val="0"/>
      <w:marTop w:val="0"/>
      <w:marBottom w:val="0"/>
      <w:divBdr>
        <w:top w:val="none" w:sz="0" w:space="0" w:color="auto"/>
        <w:left w:val="none" w:sz="0" w:space="0" w:color="auto"/>
        <w:bottom w:val="none" w:sz="0" w:space="0" w:color="auto"/>
        <w:right w:val="none" w:sz="0" w:space="0" w:color="auto"/>
      </w:divBdr>
    </w:div>
    <w:div w:id="1631327201">
      <w:bodyDiv w:val="1"/>
      <w:marLeft w:val="0"/>
      <w:marRight w:val="0"/>
      <w:marTop w:val="0"/>
      <w:marBottom w:val="0"/>
      <w:divBdr>
        <w:top w:val="none" w:sz="0" w:space="0" w:color="auto"/>
        <w:left w:val="none" w:sz="0" w:space="0" w:color="auto"/>
        <w:bottom w:val="none" w:sz="0" w:space="0" w:color="auto"/>
        <w:right w:val="none" w:sz="0" w:space="0" w:color="auto"/>
      </w:divBdr>
    </w:div>
    <w:div w:id="1649165878">
      <w:bodyDiv w:val="1"/>
      <w:marLeft w:val="0"/>
      <w:marRight w:val="0"/>
      <w:marTop w:val="0"/>
      <w:marBottom w:val="0"/>
      <w:divBdr>
        <w:top w:val="none" w:sz="0" w:space="0" w:color="auto"/>
        <w:left w:val="none" w:sz="0" w:space="0" w:color="auto"/>
        <w:bottom w:val="none" w:sz="0" w:space="0" w:color="auto"/>
        <w:right w:val="none" w:sz="0" w:space="0" w:color="auto"/>
      </w:divBdr>
    </w:div>
    <w:div w:id="1683773905">
      <w:bodyDiv w:val="1"/>
      <w:marLeft w:val="0"/>
      <w:marRight w:val="0"/>
      <w:marTop w:val="0"/>
      <w:marBottom w:val="0"/>
      <w:divBdr>
        <w:top w:val="none" w:sz="0" w:space="0" w:color="auto"/>
        <w:left w:val="none" w:sz="0" w:space="0" w:color="auto"/>
        <w:bottom w:val="none" w:sz="0" w:space="0" w:color="auto"/>
        <w:right w:val="none" w:sz="0" w:space="0" w:color="auto"/>
      </w:divBdr>
    </w:div>
    <w:div w:id="1723287648">
      <w:bodyDiv w:val="1"/>
      <w:marLeft w:val="0"/>
      <w:marRight w:val="0"/>
      <w:marTop w:val="0"/>
      <w:marBottom w:val="0"/>
      <w:divBdr>
        <w:top w:val="none" w:sz="0" w:space="0" w:color="auto"/>
        <w:left w:val="none" w:sz="0" w:space="0" w:color="auto"/>
        <w:bottom w:val="none" w:sz="0" w:space="0" w:color="auto"/>
        <w:right w:val="none" w:sz="0" w:space="0" w:color="auto"/>
      </w:divBdr>
    </w:div>
    <w:div w:id="1772116957">
      <w:bodyDiv w:val="1"/>
      <w:marLeft w:val="0"/>
      <w:marRight w:val="0"/>
      <w:marTop w:val="0"/>
      <w:marBottom w:val="0"/>
      <w:divBdr>
        <w:top w:val="none" w:sz="0" w:space="0" w:color="auto"/>
        <w:left w:val="none" w:sz="0" w:space="0" w:color="auto"/>
        <w:bottom w:val="none" w:sz="0" w:space="0" w:color="auto"/>
        <w:right w:val="none" w:sz="0" w:space="0" w:color="auto"/>
      </w:divBdr>
    </w:div>
    <w:div w:id="1772583638">
      <w:bodyDiv w:val="1"/>
      <w:marLeft w:val="0"/>
      <w:marRight w:val="0"/>
      <w:marTop w:val="0"/>
      <w:marBottom w:val="0"/>
      <w:divBdr>
        <w:top w:val="none" w:sz="0" w:space="0" w:color="auto"/>
        <w:left w:val="none" w:sz="0" w:space="0" w:color="auto"/>
        <w:bottom w:val="none" w:sz="0" w:space="0" w:color="auto"/>
        <w:right w:val="none" w:sz="0" w:space="0" w:color="auto"/>
      </w:divBdr>
    </w:div>
    <w:div w:id="1795245473">
      <w:bodyDiv w:val="1"/>
      <w:marLeft w:val="0"/>
      <w:marRight w:val="0"/>
      <w:marTop w:val="0"/>
      <w:marBottom w:val="0"/>
      <w:divBdr>
        <w:top w:val="none" w:sz="0" w:space="0" w:color="auto"/>
        <w:left w:val="none" w:sz="0" w:space="0" w:color="auto"/>
        <w:bottom w:val="none" w:sz="0" w:space="0" w:color="auto"/>
        <w:right w:val="none" w:sz="0" w:space="0" w:color="auto"/>
      </w:divBdr>
    </w:div>
    <w:div w:id="1833638450">
      <w:bodyDiv w:val="1"/>
      <w:marLeft w:val="0"/>
      <w:marRight w:val="0"/>
      <w:marTop w:val="0"/>
      <w:marBottom w:val="0"/>
      <w:divBdr>
        <w:top w:val="none" w:sz="0" w:space="0" w:color="auto"/>
        <w:left w:val="none" w:sz="0" w:space="0" w:color="auto"/>
        <w:bottom w:val="none" w:sz="0" w:space="0" w:color="auto"/>
        <w:right w:val="none" w:sz="0" w:space="0" w:color="auto"/>
      </w:divBdr>
    </w:div>
    <w:div w:id="1880047630">
      <w:bodyDiv w:val="1"/>
      <w:marLeft w:val="0"/>
      <w:marRight w:val="0"/>
      <w:marTop w:val="0"/>
      <w:marBottom w:val="0"/>
      <w:divBdr>
        <w:top w:val="none" w:sz="0" w:space="0" w:color="auto"/>
        <w:left w:val="none" w:sz="0" w:space="0" w:color="auto"/>
        <w:bottom w:val="none" w:sz="0" w:space="0" w:color="auto"/>
        <w:right w:val="none" w:sz="0" w:space="0" w:color="auto"/>
      </w:divBdr>
    </w:div>
    <w:div w:id="1928997540">
      <w:bodyDiv w:val="1"/>
      <w:marLeft w:val="0"/>
      <w:marRight w:val="0"/>
      <w:marTop w:val="0"/>
      <w:marBottom w:val="0"/>
      <w:divBdr>
        <w:top w:val="none" w:sz="0" w:space="0" w:color="auto"/>
        <w:left w:val="none" w:sz="0" w:space="0" w:color="auto"/>
        <w:bottom w:val="none" w:sz="0" w:space="0" w:color="auto"/>
        <w:right w:val="none" w:sz="0" w:space="0" w:color="auto"/>
      </w:divBdr>
    </w:div>
    <w:div w:id="1940600558">
      <w:bodyDiv w:val="1"/>
      <w:marLeft w:val="0"/>
      <w:marRight w:val="0"/>
      <w:marTop w:val="0"/>
      <w:marBottom w:val="0"/>
      <w:divBdr>
        <w:top w:val="none" w:sz="0" w:space="0" w:color="auto"/>
        <w:left w:val="none" w:sz="0" w:space="0" w:color="auto"/>
        <w:bottom w:val="none" w:sz="0" w:space="0" w:color="auto"/>
        <w:right w:val="none" w:sz="0" w:space="0" w:color="auto"/>
      </w:divBdr>
    </w:div>
    <w:div w:id="2002157477">
      <w:bodyDiv w:val="1"/>
      <w:marLeft w:val="0"/>
      <w:marRight w:val="0"/>
      <w:marTop w:val="0"/>
      <w:marBottom w:val="0"/>
      <w:divBdr>
        <w:top w:val="none" w:sz="0" w:space="0" w:color="auto"/>
        <w:left w:val="none" w:sz="0" w:space="0" w:color="auto"/>
        <w:bottom w:val="none" w:sz="0" w:space="0" w:color="auto"/>
        <w:right w:val="none" w:sz="0" w:space="0" w:color="auto"/>
      </w:divBdr>
    </w:div>
    <w:div w:id="2018190510">
      <w:bodyDiv w:val="1"/>
      <w:marLeft w:val="0"/>
      <w:marRight w:val="0"/>
      <w:marTop w:val="0"/>
      <w:marBottom w:val="0"/>
      <w:divBdr>
        <w:top w:val="none" w:sz="0" w:space="0" w:color="auto"/>
        <w:left w:val="none" w:sz="0" w:space="0" w:color="auto"/>
        <w:bottom w:val="none" w:sz="0" w:space="0" w:color="auto"/>
        <w:right w:val="none" w:sz="0" w:space="0" w:color="auto"/>
      </w:divBdr>
    </w:div>
    <w:div w:id="2063822239">
      <w:bodyDiv w:val="1"/>
      <w:marLeft w:val="0"/>
      <w:marRight w:val="0"/>
      <w:marTop w:val="0"/>
      <w:marBottom w:val="0"/>
      <w:divBdr>
        <w:top w:val="none" w:sz="0" w:space="0" w:color="auto"/>
        <w:left w:val="none" w:sz="0" w:space="0" w:color="auto"/>
        <w:bottom w:val="none" w:sz="0" w:space="0" w:color="auto"/>
        <w:right w:val="none" w:sz="0" w:space="0" w:color="auto"/>
      </w:divBdr>
    </w:div>
    <w:div w:id="2087418208">
      <w:bodyDiv w:val="1"/>
      <w:marLeft w:val="0"/>
      <w:marRight w:val="0"/>
      <w:marTop w:val="0"/>
      <w:marBottom w:val="0"/>
      <w:divBdr>
        <w:top w:val="none" w:sz="0" w:space="0" w:color="auto"/>
        <w:left w:val="none" w:sz="0" w:space="0" w:color="auto"/>
        <w:bottom w:val="none" w:sz="0" w:space="0" w:color="auto"/>
        <w:right w:val="none" w:sz="0" w:space="0" w:color="auto"/>
      </w:divBdr>
    </w:div>
    <w:div w:id="2088571783">
      <w:bodyDiv w:val="1"/>
      <w:marLeft w:val="0"/>
      <w:marRight w:val="0"/>
      <w:marTop w:val="0"/>
      <w:marBottom w:val="0"/>
      <w:divBdr>
        <w:top w:val="none" w:sz="0" w:space="0" w:color="auto"/>
        <w:left w:val="none" w:sz="0" w:space="0" w:color="auto"/>
        <w:bottom w:val="none" w:sz="0" w:space="0" w:color="auto"/>
        <w:right w:val="none" w:sz="0" w:space="0" w:color="auto"/>
      </w:divBdr>
    </w:div>
    <w:div w:id="2100447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documentManagement>
    <_Source xmlns="http://schemas.microsoft.com/sharepoint/v3/fields" xsi:nil="true"/>
    <PRRIP_x0020_Document_x0020_Publication_x0020_Level xmlns="cf521744-3b04-41f0-a60c-531e85d79deb">Draft</PRRIP_x0020_Document_x0020_Publication_x0020_Level>
    <PRRIP_x0020_Can_x0020_Publicly_x0020_Share xmlns="cf521744-3b04-41f0-a60c-531e85d79deb">false</PRRIP_x0020_Can_x0020_Publicly_x0020_Share>
    <PRRIP_x0020_Target_x0020_Species xmlns="cf521744-3b04-41f0-a60c-531e85d79deb">Not Applicable</PRRIP_x0020_Target_x0020_Species>
    <PRRIPCommitteeAcronym xmlns="cf521744-3b04-41f0-a60c-531e85d79deb">EDO</PRRIPCommitteeAcronym>
    <Depletions_x0020_Plan_x0020_Signatory xmlns="cf521744-3b04-41f0-a60c-531e85d79deb" xsi:nil="true"/>
    <PRRIP_x0020_Document_x0020_Category xmlns="cf521744-3b04-41f0-a60c-531e85d79deb">Committee</PRRIP_x0020_Document_x0020_Category>
    <_Contributor xmlns="http://schemas.microsoft.com/sharepoint/v3/fields" xsi:nil="true"/>
    <PRRIP_x0020_Area_x0020_of_x0020_Focus xmlns="cf521744-3b04-41f0-a60c-531e85d79deb">Water</PRRIP_x0020_Area_x0020_of_x0020_Focus>
    <Publication_x0020_Date xmlns="cf521744-3b04-41f0-a60c-531e85d79deb">2013-01-02T06:00:00+00:00</Publication_x0020_Date>
    <Water_x0020_Category xmlns="cf521744-3b04-41f0-a60c-531e85d79deb">General</Water_x0020_Category>
    <PRRIP_x0020_Document_x0020_Type_x0020_Classification xmlns="cf521744-3b04-41f0-a60c-531e85d79deb">Other</PRRIP_x0020_Document_x0020_Type_x0020_Classification>
    <_Publisher xmlns="694edf55-823d-4bc7-a8d3-3ef5c79e931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PRRIP Root Document Content Type" ma:contentTypeID="0x010100B2B6060726950549BF65FD5ABA6497AE00E4D57558CD132E4EA6BBBB9DBAA09CE6" ma:contentTypeVersion="20" ma:contentTypeDescription="Root content type to be used for generation of extended/refined content types for PRRIP and its committees." ma:contentTypeScope="" ma:versionID="5823b7d75e6a749bdd61904497bd994a">
  <xsd:schema xmlns:xsd="http://www.w3.org/2001/XMLSchema" xmlns:p="http://schemas.microsoft.com/office/2006/metadata/properties" xmlns:ns2="http://schemas.microsoft.com/sharepoint/v3/fields" xmlns:ns3="cf521744-3b04-41f0-a60c-531e85d79deb" xmlns:ns4="694edf55-823d-4bc7-a8d3-3ef5c79e931b" targetNamespace="http://schemas.microsoft.com/office/2006/metadata/properties" ma:root="true" ma:fieldsID="3c7d2c38241705a062accc352771300c" ns2:_="" ns3:_="" ns4:_="">
    <xsd:import namespace="http://schemas.microsoft.com/sharepoint/v3/fields"/>
    <xsd:import namespace="cf521744-3b04-41f0-a60c-531e85d79deb"/>
    <xsd:import namespace="694edf55-823d-4bc7-a8d3-3ef5c79e931b"/>
    <xsd:element name="properties">
      <xsd:complexType>
        <xsd:sequence>
          <xsd:element name="documentManagement">
            <xsd:complexType>
              <xsd:all>
                <xsd:element ref="ns2:_Contributor" minOccurs="0"/>
                <xsd:element ref="ns3:PRRIP_x0020_Document_x0020_Type_x0020_Classification"/>
                <xsd:element ref="ns3:PRRIP_x0020_Document_x0020_Publication_x0020_Level"/>
                <xsd:element ref="ns3:PRRIP_x0020_Document_x0020_Category"/>
                <xsd:element ref="ns3:PRRIP_x0020_Area_x0020_of_x0020_Focus"/>
                <xsd:element ref="ns3:PRRIP_x0020_Can_x0020_Publicly_x0020_Share" minOccurs="0"/>
                <xsd:element ref="ns3:PRRIP_x0020_Target_x0020_Species"/>
                <xsd:element ref="ns2:_Source" minOccurs="0"/>
                <xsd:element ref="ns4:_Publisher" minOccurs="0"/>
                <xsd:element ref="ns3:Publication_x0020_Date" minOccurs="0"/>
                <xsd:element ref="ns3:PRRIPCommitteeAcronym" minOccurs="0"/>
                <xsd:element ref="ns3:Water_x0020_Category" minOccurs="0"/>
                <xsd:element ref="ns3:Depletions_x0020_Plan_x0020_Signatory" minOccurs="0"/>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Contributor" ma:index="3" nillable="true" ma:displayName="Contributors" ma:description="One or more additional authors or contributors.  Field is limited to 255 characters." ma:internalName="_Contributor">
      <xsd:simpleType>
        <xsd:restriction base="dms:Note"/>
      </xsd:simpleType>
    </xsd:element>
    <xsd:element name="_Source" ma:index="10" nillable="true" ma:displayName="Source" ma:description="Document source journal or publication." ma:internalName="_Source">
      <xsd:simpleType>
        <xsd:restriction base="dms:Note"/>
      </xsd:simpleType>
    </xsd:element>
  </xsd:schema>
  <xsd:schema xmlns:xsd="http://www.w3.org/2001/XMLSchema" xmlns:dms="http://schemas.microsoft.com/office/2006/documentManagement/types" targetNamespace="cf521744-3b04-41f0-a60c-531e85d79deb" elementFormDefault="qualified">
    <xsd:import namespace="http://schemas.microsoft.com/office/2006/documentManagement/types"/>
    <xsd:element name="PRRIP_x0020_Document_x0020_Type_x0020_Classification" ma:index="4" ma:displayName="PRRIP Document Type Classification" ma:description="Indicates the PRRIP document type." ma:format="Dropdown" ma:internalName="PRRIP_x0020_Document_x0020_Type_x0020_Classification" ma:readOnly="false">
      <xsd:simpleType>
        <xsd:restriction base="dms:Choice">
          <xsd:enumeration value="Appendix"/>
          <xsd:enumeration value="FAQs"/>
          <xsd:enumeration value="Gathered Data"/>
          <xsd:enumeration value="Meeting Agenda"/>
          <xsd:enumeration value="Meeting Minutes"/>
          <xsd:enumeration value="Picture / Image / Logo"/>
          <xsd:enumeration value="Program Budget"/>
          <xsd:enumeration value="Protocol"/>
          <xsd:enumeration value="Request For Proposal/Quote"/>
          <xsd:enumeration value="Study"/>
          <xsd:enumeration value="Technical Report"/>
          <xsd:enumeration value="Work Plan"/>
          <xsd:enumeration value="Other"/>
        </xsd:restriction>
      </xsd:simpleType>
    </xsd:element>
    <xsd:element name="PRRIP_x0020_Document_x0020_Publication_x0020_Level" ma:index="5" ma:displayName="PRRIP Document Completeness Level" ma:description="Used to indicate the level of versioning regarding prep/publication." ma:format="Dropdown" ma:internalName="PRRIP_x0020_Document_x0020_Publication_x0020_Level">
      <xsd:simpleType>
        <xsd:restriction base="dms:Choice">
          <xsd:enumeration value="Personal Document"/>
          <xsd:enumeration value="Notes / Scratchpad"/>
          <xsd:enumeration value="Draft"/>
          <xsd:enumeration value="For Review / Feedback"/>
          <xsd:enumeration value="Proposed Final"/>
          <xsd:enumeration value="Final"/>
          <xsd:enumeration value="Published for Public"/>
          <xsd:enumeration value="Other"/>
        </xsd:restriction>
      </xsd:simpleType>
    </xsd:element>
    <xsd:element name="PRRIP_x0020_Document_x0020_Category" ma:index="6" ma:displayName="PRRIP Document Category" ma:description="Used to categorize the PRRIP document to a specific program purpose area." ma:format="Dropdown" ma:internalName="PRRIP_x0020_Document_x0020_Category">
      <xsd:simpleType>
        <xsd:restriction base="dms:Choice">
          <xsd:enumeration value="Administrative"/>
          <xsd:enumeration value="Committee"/>
          <xsd:enumeration value="Programmatic"/>
          <xsd:enumeration value="Technical"/>
          <xsd:enumeration value="Other"/>
        </xsd:restriction>
      </xsd:simpleType>
    </xsd:element>
    <xsd:element name="PRRIP_x0020_Area_x0020_of_x0020_Focus" ma:index="7" ma:displayName="PRRIP Area of Focus" ma:default="Other" ma:description="Used to categorize the document's Topical Focus" ma:format="Dropdown" ma:internalName="PRRIP_x0020_Area_x0020_of_x0020_Focus">
      <xsd:simpleType>
        <xsd:restriction base="dms:Choice">
          <xsd:enumeration value="Adaptive Management"/>
          <xsd:enumeration value="Geomorphology"/>
          <xsd:enumeration value="Habitat"/>
          <xsd:enumeration value="Land"/>
          <xsd:enumeration value="Target Species"/>
          <xsd:enumeration value="Non-Target Species"/>
          <xsd:enumeration value="Vegetation"/>
          <xsd:enumeration value="Water"/>
          <xsd:enumeration value="Other"/>
        </xsd:restriction>
      </xsd:simpleType>
    </xsd:element>
    <xsd:element name="PRRIP_x0020_Can_x0020_Publicly_x0020_Share" ma:index="8" nillable="true" ma:displayName="PRRIP Can Publicly Share" ma:default="0" ma:description="Indicates whether the item can or cannot be shared with the public." ma:hidden="true" ma:internalName="PRRIP_x0020_Can_x0020_Publicly_x0020_Share" ma:readOnly="false">
      <xsd:simpleType>
        <xsd:restriction base="dms:Boolean"/>
      </xsd:simpleType>
    </xsd:element>
    <xsd:element name="PRRIP_x0020_Target_x0020_Species" ma:index="9" ma:displayName="PRRIP Target Species" ma:description="Used to indicate the item's relevant program's target species." ma:format="Dropdown" ma:internalName="PRRIP_x0020_Target_x0020_Species" ma:readOnly="false">
      <xsd:simpleType>
        <xsd:restriction base="dms:Choice">
          <xsd:enumeration value="Interior Least Tern"/>
          <xsd:enumeration value="Interior Least Terns and Piping Plovers"/>
          <xsd:enumeration value="Pallid Sturgeon"/>
          <xsd:enumeration value="Piping Plover"/>
          <xsd:enumeration value="Whooping Crane"/>
          <xsd:enumeration value="Not Applicable"/>
        </xsd:restriction>
      </xsd:simpleType>
    </xsd:element>
    <xsd:element name="Publication_x0020_Date" ma:index="12" nillable="true" ma:displayName="Publication Date" ma:description="Date of publication for the document, article, magazine, etc." ma:format="DateOnly" ma:internalName="Publication_x0020_Date">
      <xsd:simpleType>
        <xsd:restriction base="dms:DateTime"/>
      </xsd:simpleType>
    </xsd:element>
    <xsd:element name="PRRIPCommitteeAcronym" ma:index="19" nillable="true" ma:displayName="PRRIP Committee Acronym" ma:description="Used to specify one of the PRRIP Committees." ma:format="Dropdown" ma:internalName="PRRIPCommitteeAcronym">
      <xsd:simpleType>
        <xsd:restriction base="dms:Choice">
          <xsd:enumeration value="EDO"/>
          <xsd:enumeration value="FC"/>
          <xsd:enumeration value="GC"/>
          <xsd:enumeration value="ISAC"/>
          <xsd:enumeration value="LAC"/>
          <xsd:enumeration value="TAC"/>
          <xsd:enumeration value="WAC"/>
          <xsd:enumeration value="Other"/>
          <xsd:enumeration value="All"/>
        </xsd:restriction>
      </xsd:simpleType>
    </xsd:element>
    <xsd:element name="Water_x0020_Category" ma:index="20" nillable="true" ma:displayName="Water Category" ma:format="Dropdown" ma:internalName="Water_x0020_Category">
      <xsd:simpleType>
        <xsd:restriction base="dms:Choice">
          <xsd:enumeration value="General"/>
          <xsd:enumeration value="WAP-CNPPID Rereg. Reservoir"/>
          <xsd:enumeration value="WAP-Elm Creek Rereg. Reservoir"/>
          <xsd:enumeration value="WAP-NE Groundwater Recharge"/>
          <xsd:enumeration value="WAP-Net Controllable Conserved Water"/>
          <xsd:enumeration value="WAP-Pathfinder Account"/>
          <xsd:enumeration value="WAP-Glendo Reservoir"/>
          <xsd:enumeration value="WAP-Tamarack III"/>
          <xsd:enumeration value="WAP-NE Water Leasing"/>
          <xsd:enumeration value="WAP-Water Management Incentives"/>
          <xsd:enumeration value="WAP-NE Groundwater Management"/>
          <xsd:enumeration value="WAP-Power Interference"/>
          <xsd:enumeration value="WAP-WY Water Leasing"/>
          <xsd:enumeration value="WAP-LaPrele Reservoir"/>
          <xsd:enumeration value="North Platte Chokepoint"/>
          <xsd:enumeration value="Short-Duration High Flow"/>
        </xsd:restriction>
      </xsd:simpleType>
    </xsd:element>
    <xsd:element name="Depletions_x0020_Plan_x0020_Signatory" ma:index="21" nillable="true" ma:displayName="Depletions Plan Signatory" ma:format="Dropdown" ma:internalName="Depletions_x0020_Plan_x0020_Signatory">
      <xsd:simpleType>
        <xsd:restriction base="dms:Choice">
          <xsd:enumeration value="Colorado"/>
          <xsd:enumeration value="Nebraska"/>
          <xsd:enumeration value="Wyoming"/>
          <xsd:enumeration value="Federal Government"/>
        </xsd:restriction>
      </xsd:simpleType>
    </xsd:element>
  </xsd:schema>
  <xsd:schema xmlns:xsd="http://www.w3.org/2001/XMLSchema" xmlns:dms="http://schemas.microsoft.com/office/2006/documentManagement/types" targetNamespace="694edf55-823d-4bc7-a8d3-3ef5c79e931b" elementFormDefault="qualified">
    <xsd:import namespace="http://schemas.microsoft.com/office/2006/documentManagement/types"/>
    <xsd:element name="_Publisher" ma:index="11" nillable="true" ma:displayName="Publisher" ma:description="The person, organization or service that published this resource" ma:format="Dropdown" ma:internalName="_Publisher">
      <xsd:simpleType>
        <xsd:union memberTypes="dms:Text">
          <xsd:simpleType>
            <xsd:restriction base="dms:Choice">
              <xsd:enumeration value="Platte River Recovery Implementation Program"/>
              <xsd:enumeration value="United States Army Corps of Engineers"/>
              <xsd:enumeration value="United States Fish &amp; Wildlife Service"/>
              <xsd:enumeration value="United States Geological Survey"/>
              <xsd:enumeration value="United States Bureau of Reclamation"/>
              <xsd:enumeration value="Other"/>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 ma:displayName="Author"/>
        <xsd:element ref="dcterms:created" minOccurs="0" maxOccurs="1"/>
        <xsd:element ref="dc:identifier" minOccurs="0" maxOccurs="1"/>
        <xsd:element name="contentType" minOccurs="0" maxOccurs="1" type="xsd:string" ma:index="1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mso-contentType ?>
<customXsn xmlns="http://schemas.microsoft.com/office/2006/metadata/customXsn">
  <xsnLocation/>
  <cached>True</cached>
  <openByDefault>True</openByDefault>
  <xsnScope/>
</customXsn>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83B2E-38B4-4997-A0B9-6526E1E24C88}">
  <ds:schemaRefs>
    <ds:schemaRef ds:uri="http://schemas.microsoft.com/office/2006/metadata/longProperties"/>
  </ds:schemaRefs>
</ds:datastoreItem>
</file>

<file path=customXml/itemProps2.xml><?xml version="1.0" encoding="utf-8"?>
<ds:datastoreItem xmlns:ds="http://schemas.openxmlformats.org/officeDocument/2006/customXml" ds:itemID="{8DAC0938-1878-4FD0-8C25-7D6B9D7BAA85}">
  <ds:schemaRefs>
    <ds:schemaRef ds:uri="http://schemas.microsoft.com/office/2006/metadata/properties"/>
    <ds:schemaRef ds:uri="http://schemas.microsoft.com/sharepoint/v3/fields"/>
    <ds:schemaRef ds:uri="cf521744-3b04-41f0-a60c-531e85d79deb"/>
    <ds:schemaRef ds:uri="694edf55-823d-4bc7-a8d3-3ef5c79e931b"/>
  </ds:schemaRefs>
</ds:datastoreItem>
</file>

<file path=customXml/itemProps3.xml><?xml version="1.0" encoding="utf-8"?>
<ds:datastoreItem xmlns:ds="http://schemas.openxmlformats.org/officeDocument/2006/customXml" ds:itemID="{30C17B5D-375D-473F-B76B-43A9F58AC890}">
  <ds:schemaRefs>
    <ds:schemaRef ds:uri="http://schemas.microsoft.com/sharepoint/v3/contenttype/forms"/>
  </ds:schemaRefs>
</ds:datastoreItem>
</file>

<file path=customXml/itemProps4.xml><?xml version="1.0" encoding="utf-8"?>
<ds:datastoreItem xmlns:ds="http://schemas.openxmlformats.org/officeDocument/2006/customXml" ds:itemID="{48A6054A-6EF0-45CA-A85E-38386FB033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cf521744-3b04-41f0-a60c-531e85d79deb"/>
    <ds:schemaRef ds:uri="694edf55-823d-4bc7-a8d3-3ef5c79e931b"/>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D53F3D3A-D33E-41EC-9F36-BB9A65AC403E}">
  <ds:schemaRefs>
    <ds:schemaRef ds:uri="http://schemas.microsoft.com/office/2006/metadata/customXsn"/>
  </ds:schemaRefs>
</ds:datastoreItem>
</file>

<file path=customXml/itemProps6.xml><?xml version="1.0" encoding="utf-8"?>
<ds:datastoreItem xmlns:ds="http://schemas.openxmlformats.org/officeDocument/2006/customXml" ds:itemID="{5B6A6A7F-82F0-4999-839F-F0F1C1E8E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39</Pages>
  <Words>10707</Words>
  <Characters>61035</Characters>
  <Application>Microsoft Office Word</Application>
  <DocSecurity>0</DocSecurity>
  <Lines>508</Lines>
  <Paragraphs>143</Paragraphs>
  <ScaleCrop>false</ScaleCrop>
  <HeadingPairs>
    <vt:vector size="2" baseType="variant">
      <vt:variant>
        <vt:lpstr>Title</vt:lpstr>
      </vt:variant>
      <vt:variant>
        <vt:i4>1</vt:i4>
      </vt:variant>
    </vt:vector>
  </HeadingPairs>
  <TitlesOfParts>
    <vt:vector size="1" baseType="lpstr">
      <vt:lpstr>Memo</vt:lpstr>
    </vt:vector>
  </TitlesOfParts>
  <Company>Microsoft</Company>
  <LinksUpToDate>false</LinksUpToDate>
  <CharactersWithSpaces>71599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dc:title>
  <dc:subject/>
  <dc:creator>Seth Turner</dc:creator>
  <cp:keywords/>
  <cp:lastModifiedBy>Seth Turner</cp:lastModifiedBy>
  <cp:revision>42</cp:revision>
  <cp:lastPrinted>2012-01-04T16:37:00Z</cp:lastPrinted>
  <dcterms:created xsi:type="dcterms:W3CDTF">2019-04-23T16:44:00Z</dcterms:created>
  <dcterms:modified xsi:type="dcterms:W3CDTF">2019-04-23T21:06:00Z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PRRIP Root Document Content Type</vt:lpwstr>
  </property>
</Properties>
</file>